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15" w:rsidRPr="00C106F3" w:rsidRDefault="001A6DB6" w:rsidP="00081B79">
      <w:pPr>
        <w:jc w:val="center"/>
        <w:rPr>
          <w:rFonts w:cstheme="minorHAnsi"/>
          <w:sz w:val="28"/>
          <w:szCs w:val="28"/>
        </w:rPr>
      </w:pPr>
      <w:r w:rsidRPr="00C106F3">
        <w:rPr>
          <w:rFonts w:cstheme="minorHAnsi"/>
          <w:sz w:val="28"/>
          <w:szCs w:val="28"/>
        </w:rPr>
        <w:t>Legal History:</w:t>
      </w:r>
      <w:r w:rsidR="00081B79" w:rsidRPr="00C106F3">
        <w:rPr>
          <w:rFonts w:cstheme="minorHAnsi"/>
          <w:sz w:val="28"/>
          <w:szCs w:val="28"/>
        </w:rPr>
        <w:t xml:space="preserve"> Research &amp; Resources</w:t>
      </w:r>
    </w:p>
    <w:p w:rsidR="00081B79" w:rsidRPr="00081B79" w:rsidRDefault="00DE156A" w:rsidP="00081B7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5</w:t>
      </w:r>
      <w:r w:rsidR="00081B79" w:rsidRPr="00081B79">
        <w:rPr>
          <w:rFonts w:cstheme="minorHAnsi"/>
          <w:sz w:val="24"/>
          <w:szCs w:val="24"/>
        </w:rPr>
        <w:t>, 201</w:t>
      </w:r>
      <w:r w:rsidR="00024E3B">
        <w:rPr>
          <w:rFonts w:cstheme="minorHAnsi"/>
          <w:sz w:val="24"/>
          <w:szCs w:val="24"/>
        </w:rPr>
        <w:t>4</w:t>
      </w:r>
      <w:r w:rsidR="00C17818">
        <w:rPr>
          <w:rFonts w:cstheme="minorHAnsi"/>
          <w:sz w:val="24"/>
          <w:szCs w:val="24"/>
        </w:rPr>
        <w:t xml:space="preserve">  </w:t>
      </w:r>
      <w:r w:rsidR="003C0B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11:30 a</w:t>
      </w:r>
      <w:r w:rsidR="00081B79">
        <w:rPr>
          <w:rFonts w:cstheme="minorHAnsi"/>
          <w:sz w:val="24"/>
          <w:szCs w:val="24"/>
        </w:rPr>
        <w:t>.m.</w:t>
      </w:r>
    </w:p>
    <w:p w:rsidR="00081B79" w:rsidRPr="00C106F3" w:rsidRDefault="00081B79" w:rsidP="00081B79">
      <w:pPr>
        <w:jc w:val="center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Toni Aiello, Reference Librarian</w:t>
      </w:r>
    </w:p>
    <w:p w:rsidR="00081B79" w:rsidRPr="00C106F3" w:rsidRDefault="001A6DB6" w:rsidP="00F06BF3">
      <w:pPr>
        <w:ind w:firstLine="720"/>
        <w:rPr>
          <w:rFonts w:cstheme="minorHAnsi"/>
          <w:sz w:val="24"/>
          <w:szCs w:val="24"/>
        </w:rPr>
      </w:pPr>
      <w:r w:rsidRPr="00332000">
        <w:rPr>
          <w:rFonts w:cstheme="minorHAnsi"/>
          <w:sz w:val="24"/>
          <w:szCs w:val="24"/>
          <w:u w:val="single"/>
        </w:rPr>
        <w:t>Handouts</w:t>
      </w:r>
      <w:r w:rsidRPr="00C106F3">
        <w:rPr>
          <w:rFonts w:cstheme="minorHAnsi"/>
          <w:sz w:val="24"/>
          <w:szCs w:val="24"/>
        </w:rPr>
        <w:t>:</w:t>
      </w:r>
    </w:p>
    <w:p w:rsidR="001A6DB6" w:rsidRPr="00C106F3" w:rsidRDefault="001A6DB6" w:rsidP="001461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Sample student Note:   Kelly Elizabeth Phillips, Marriage and Redemption: Mormon Polygamy in the Congressional Imagination</w:t>
      </w:r>
      <w:r w:rsidR="001918CF" w:rsidRPr="00C106F3">
        <w:rPr>
          <w:rFonts w:cstheme="minorHAnsi"/>
          <w:sz w:val="24"/>
          <w:szCs w:val="24"/>
        </w:rPr>
        <w:t xml:space="preserve">, 1862-1867, 95 Va. L. Rev. 435 (2009).  </w:t>
      </w:r>
      <w:r w:rsidR="0014612F" w:rsidRPr="00C106F3">
        <w:rPr>
          <w:rFonts w:cstheme="minorHAnsi"/>
          <w:sz w:val="24"/>
          <w:szCs w:val="24"/>
        </w:rPr>
        <w:t>This Note discusses a h</w:t>
      </w:r>
      <w:r w:rsidR="001918CF" w:rsidRPr="00C106F3">
        <w:rPr>
          <w:rFonts w:cstheme="minorHAnsi"/>
          <w:sz w:val="24"/>
          <w:szCs w:val="24"/>
        </w:rPr>
        <w:t xml:space="preserve">istorical topic with </w:t>
      </w:r>
      <w:r w:rsidR="0014612F" w:rsidRPr="00C106F3">
        <w:rPr>
          <w:rFonts w:cstheme="minorHAnsi"/>
          <w:sz w:val="24"/>
          <w:szCs w:val="24"/>
        </w:rPr>
        <w:t xml:space="preserve">a </w:t>
      </w:r>
      <w:r w:rsidR="008B45F0" w:rsidRPr="00C106F3">
        <w:rPr>
          <w:rFonts w:cstheme="minorHAnsi"/>
          <w:sz w:val="24"/>
          <w:szCs w:val="24"/>
        </w:rPr>
        <w:t>limited</w:t>
      </w:r>
      <w:r w:rsidR="001918CF" w:rsidRPr="00C106F3">
        <w:rPr>
          <w:rFonts w:cstheme="minorHAnsi"/>
          <w:sz w:val="24"/>
          <w:szCs w:val="24"/>
        </w:rPr>
        <w:t xml:space="preserve"> focus</w:t>
      </w:r>
      <w:r w:rsidR="0014612F" w:rsidRPr="00C106F3">
        <w:rPr>
          <w:rFonts w:cstheme="minorHAnsi"/>
          <w:sz w:val="24"/>
          <w:szCs w:val="24"/>
        </w:rPr>
        <w:t>, anti-polygamy legislation during the Civil War Period, and</w:t>
      </w:r>
      <w:r w:rsidR="0089253C" w:rsidRPr="00C106F3">
        <w:rPr>
          <w:rFonts w:cstheme="minorHAnsi"/>
          <w:sz w:val="24"/>
          <w:szCs w:val="24"/>
        </w:rPr>
        <w:t xml:space="preserve"> includes</w:t>
      </w:r>
      <w:r w:rsidR="001918CF" w:rsidRPr="00C106F3">
        <w:rPr>
          <w:rFonts w:cstheme="minorHAnsi"/>
          <w:sz w:val="24"/>
          <w:szCs w:val="24"/>
        </w:rPr>
        <w:t xml:space="preserve"> social and political factors</w:t>
      </w:r>
      <w:r w:rsidR="0014612F" w:rsidRPr="00C106F3">
        <w:rPr>
          <w:rFonts w:cstheme="minorHAnsi"/>
          <w:sz w:val="24"/>
          <w:szCs w:val="24"/>
        </w:rPr>
        <w:t xml:space="preserve"> </w:t>
      </w:r>
      <w:r w:rsidR="0089253C" w:rsidRPr="00C106F3">
        <w:rPr>
          <w:rFonts w:cstheme="minorHAnsi"/>
          <w:sz w:val="24"/>
          <w:szCs w:val="24"/>
        </w:rPr>
        <w:t xml:space="preserve">that may have influenced this legislation </w:t>
      </w:r>
      <w:r w:rsidR="0014612F" w:rsidRPr="00C106F3">
        <w:rPr>
          <w:rFonts w:cstheme="minorHAnsi"/>
          <w:sz w:val="24"/>
          <w:szCs w:val="24"/>
        </w:rPr>
        <w:t>as well as primary source legislative documents.</w:t>
      </w:r>
      <w:r w:rsidR="001918CF" w:rsidRPr="00C106F3">
        <w:rPr>
          <w:rFonts w:cstheme="minorHAnsi"/>
          <w:sz w:val="24"/>
          <w:szCs w:val="24"/>
        </w:rPr>
        <w:t xml:space="preserve"> </w:t>
      </w:r>
      <w:r w:rsidR="0014612F" w:rsidRPr="00C106F3">
        <w:rPr>
          <w:rFonts w:cstheme="minorHAnsi"/>
          <w:sz w:val="24"/>
          <w:szCs w:val="24"/>
        </w:rPr>
        <w:t>F</w:t>
      </w:r>
      <w:r w:rsidR="001918CF" w:rsidRPr="00C106F3">
        <w:rPr>
          <w:rFonts w:cstheme="minorHAnsi"/>
          <w:sz w:val="24"/>
          <w:szCs w:val="24"/>
        </w:rPr>
        <w:t>ootnotes</w:t>
      </w:r>
      <w:r w:rsidR="0089253C" w:rsidRPr="00C106F3">
        <w:rPr>
          <w:rFonts w:cstheme="minorHAnsi"/>
          <w:sz w:val="24"/>
          <w:szCs w:val="24"/>
        </w:rPr>
        <w:t xml:space="preserve"> </w:t>
      </w:r>
      <w:r w:rsidR="001918CF" w:rsidRPr="00C106F3">
        <w:rPr>
          <w:rFonts w:cstheme="minorHAnsi"/>
          <w:sz w:val="24"/>
          <w:szCs w:val="24"/>
        </w:rPr>
        <w:t>for Congressional debates, bills, reports</w:t>
      </w:r>
      <w:r w:rsidR="008F2319" w:rsidRPr="00C106F3">
        <w:rPr>
          <w:rFonts w:cstheme="minorHAnsi"/>
          <w:sz w:val="24"/>
          <w:szCs w:val="24"/>
        </w:rPr>
        <w:t xml:space="preserve"> and</w:t>
      </w:r>
      <w:r w:rsidR="001918CF" w:rsidRPr="00C106F3">
        <w:rPr>
          <w:rFonts w:cstheme="minorHAnsi"/>
          <w:sz w:val="24"/>
          <w:szCs w:val="24"/>
        </w:rPr>
        <w:t xml:space="preserve"> Acts; </w:t>
      </w:r>
      <w:r w:rsidR="008F2319" w:rsidRPr="00C106F3">
        <w:rPr>
          <w:rFonts w:cstheme="minorHAnsi"/>
          <w:sz w:val="24"/>
          <w:szCs w:val="24"/>
        </w:rPr>
        <w:t xml:space="preserve">other </w:t>
      </w:r>
      <w:r w:rsidR="001918CF" w:rsidRPr="00C106F3">
        <w:rPr>
          <w:rFonts w:cstheme="minorHAnsi"/>
          <w:sz w:val="24"/>
          <w:szCs w:val="24"/>
        </w:rPr>
        <w:t>document collections; archived papers; books</w:t>
      </w:r>
      <w:r w:rsidR="008F2319" w:rsidRPr="00C106F3">
        <w:rPr>
          <w:rFonts w:cstheme="minorHAnsi"/>
          <w:sz w:val="24"/>
          <w:szCs w:val="24"/>
        </w:rPr>
        <w:t>;</w:t>
      </w:r>
      <w:r w:rsidR="001918CF" w:rsidRPr="00C106F3">
        <w:rPr>
          <w:rFonts w:cstheme="minorHAnsi"/>
          <w:sz w:val="24"/>
          <w:szCs w:val="24"/>
        </w:rPr>
        <w:t xml:space="preserve"> journal articles; </w:t>
      </w:r>
      <w:r w:rsidR="0014612F" w:rsidRPr="00C106F3">
        <w:rPr>
          <w:rFonts w:cstheme="minorHAnsi"/>
          <w:sz w:val="24"/>
          <w:szCs w:val="24"/>
        </w:rPr>
        <w:t xml:space="preserve">and </w:t>
      </w:r>
      <w:r w:rsidR="001918CF" w:rsidRPr="00C106F3">
        <w:rPr>
          <w:rFonts w:cstheme="minorHAnsi"/>
          <w:sz w:val="24"/>
          <w:szCs w:val="24"/>
        </w:rPr>
        <w:t>newspaper articles</w:t>
      </w:r>
      <w:r w:rsidR="0014612F" w:rsidRPr="00C106F3">
        <w:rPr>
          <w:rFonts w:cstheme="minorHAnsi"/>
          <w:sz w:val="24"/>
          <w:szCs w:val="24"/>
        </w:rPr>
        <w:t xml:space="preserve"> may be helpful</w:t>
      </w:r>
      <w:r w:rsidR="008B45F0" w:rsidRPr="00C106F3">
        <w:rPr>
          <w:rFonts w:cstheme="minorHAnsi"/>
          <w:sz w:val="24"/>
          <w:szCs w:val="24"/>
        </w:rPr>
        <w:t xml:space="preserve"> for </w:t>
      </w:r>
      <w:r w:rsidR="00DE156A" w:rsidRPr="00C106F3">
        <w:rPr>
          <w:rFonts w:cstheme="minorHAnsi"/>
          <w:sz w:val="24"/>
          <w:szCs w:val="24"/>
        </w:rPr>
        <w:t xml:space="preserve">research or </w:t>
      </w:r>
      <w:r w:rsidR="008B45F0" w:rsidRPr="00C106F3">
        <w:rPr>
          <w:rFonts w:cstheme="minorHAnsi"/>
          <w:sz w:val="24"/>
          <w:szCs w:val="24"/>
        </w:rPr>
        <w:t>citation purposes.</w:t>
      </w:r>
      <w:r w:rsidR="001918CF" w:rsidRPr="00C106F3">
        <w:rPr>
          <w:rFonts w:cstheme="minorHAnsi"/>
          <w:sz w:val="24"/>
          <w:szCs w:val="24"/>
        </w:rPr>
        <w:t xml:space="preserve"> </w:t>
      </w:r>
    </w:p>
    <w:p w:rsidR="0014612F" w:rsidRPr="00C106F3" w:rsidRDefault="0014612F" w:rsidP="001461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Legal History:  Research &amp; Resources (selected key sources and sample searches)</w:t>
      </w:r>
    </w:p>
    <w:p w:rsidR="00E93D25" w:rsidRPr="00C106F3" w:rsidRDefault="00E93D25" w:rsidP="00D33667">
      <w:pPr>
        <w:tabs>
          <w:tab w:val="left" w:pos="450"/>
          <w:tab w:val="left" w:pos="630"/>
          <w:tab w:val="left" w:pos="720"/>
          <w:tab w:val="left" w:pos="810"/>
        </w:tabs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14612F" w:rsidRPr="00C106F3" w:rsidRDefault="00172842" w:rsidP="00D33667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C106F3">
        <w:rPr>
          <w:rFonts w:cstheme="minorHAnsi"/>
          <w:b/>
          <w:sz w:val="24"/>
          <w:szCs w:val="24"/>
        </w:rPr>
        <w:t xml:space="preserve">Research Guide </w:t>
      </w:r>
      <w:r w:rsidRPr="00C106F3">
        <w:rPr>
          <w:rFonts w:cstheme="minorHAnsi"/>
          <w:sz w:val="24"/>
          <w:szCs w:val="24"/>
        </w:rPr>
        <w:t>and</w:t>
      </w:r>
      <w:r w:rsidRPr="00C106F3">
        <w:rPr>
          <w:rFonts w:cstheme="minorHAnsi"/>
          <w:b/>
          <w:sz w:val="24"/>
          <w:szCs w:val="24"/>
        </w:rPr>
        <w:t xml:space="preserve"> </w:t>
      </w:r>
      <w:r w:rsidR="0014612F" w:rsidRPr="00C106F3">
        <w:rPr>
          <w:rFonts w:cstheme="minorHAnsi"/>
          <w:b/>
          <w:sz w:val="24"/>
          <w:szCs w:val="24"/>
        </w:rPr>
        <w:t>Law Library web site</w:t>
      </w:r>
    </w:p>
    <w:p w:rsidR="0014612F" w:rsidRPr="00C106F3" w:rsidRDefault="002F742E" w:rsidP="001461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8" w:history="1">
        <w:r w:rsidR="0014612F" w:rsidRPr="00E53C86">
          <w:rPr>
            <w:rStyle w:val="Hyperlink"/>
            <w:rFonts w:cstheme="minorHAnsi"/>
            <w:sz w:val="24"/>
            <w:szCs w:val="24"/>
          </w:rPr>
          <w:t xml:space="preserve">Research Guide:  Legal History </w:t>
        </w:r>
        <w:r w:rsidR="0058066C" w:rsidRPr="00E53C86">
          <w:rPr>
            <w:rStyle w:val="Hyperlink"/>
            <w:rFonts w:cstheme="minorHAnsi"/>
            <w:sz w:val="24"/>
            <w:szCs w:val="24"/>
          </w:rPr>
          <w:t>&amp;</w:t>
        </w:r>
        <w:r w:rsidR="0014612F" w:rsidRPr="00E53C86">
          <w:rPr>
            <w:rStyle w:val="Hyperlink"/>
            <w:rFonts w:cstheme="minorHAnsi"/>
            <w:sz w:val="24"/>
            <w:szCs w:val="24"/>
          </w:rPr>
          <w:t xml:space="preserve"> Historical Research</w:t>
        </w:r>
      </w:hyperlink>
      <w:r w:rsidR="00247D2F" w:rsidRPr="00C106F3">
        <w:rPr>
          <w:rFonts w:cstheme="minorHAnsi"/>
          <w:sz w:val="24"/>
          <w:szCs w:val="24"/>
        </w:rPr>
        <w:t xml:space="preserve">—Getting </w:t>
      </w:r>
      <w:r w:rsidR="00172842" w:rsidRPr="00C106F3">
        <w:rPr>
          <w:rFonts w:cstheme="minorHAnsi"/>
          <w:sz w:val="24"/>
          <w:szCs w:val="24"/>
        </w:rPr>
        <w:t>S</w:t>
      </w:r>
      <w:r w:rsidR="00247D2F" w:rsidRPr="00C106F3">
        <w:rPr>
          <w:rFonts w:cstheme="minorHAnsi"/>
          <w:sz w:val="24"/>
          <w:szCs w:val="24"/>
        </w:rPr>
        <w:t>tarted</w:t>
      </w:r>
      <w:r w:rsidR="00996797" w:rsidRPr="00C106F3">
        <w:rPr>
          <w:rFonts w:cstheme="minorHAnsi"/>
          <w:sz w:val="24"/>
          <w:szCs w:val="24"/>
        </w:rPr>
        <w:t xml:space="preserve"> section</w:t>
      </w:r>
      <w:r w:rsidR="00247D2F" w:rsidRPr="00C106F3">
        <w:rPr>
          <w:rFonts w:cstheme="minorHAnsi"/>
          <w:sz w:val="24"/>
          <w:szCs w:val="24"/>
        </w:rPr>
        <w:t xml:space="preserve"> and tabs</w:t>
      </w:r>
    </w:p>
    <w:p w:rsidR="0014612F" w:rsidRPr="00C106F3" w:rsidRDefault="00DE156A" w:rsidP="001461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53C86">
        <w:rPr>
          <w:rFonts w:cstheme="minorHAnsi"/>
          <w:sz w:val="24"/>
          <w:szCs w:val="24"/>
          <w:u w:val="single"/>
        </w:rPr>
        <w:t>Law Library website</w:t>
      </w:r>
      <w:r w:rsidRPr="00C106F3">
        <w:rPr>
          <w:rFonts w:cstheme="minorHAnsi"/>
          <w:sz w:val="24"/>
          <w:szCs w:val="24"/>
        </w:rPr>
        <w:t xml:space="preserve">: </w:t>
      </w:r>
      <w:r w:rsidR="000879C2" w:rsidRPr="00C106F3">
        <w:rPr>
          <w:rFonts w:cstheme="minorHAnsi"/>
          <w:sz w:val="24"/>
          <w:szCs w:val="24"/>
        </w:rPr>
        <w:t xml:space="preserve">Online Resources by Subject:  </w:t>
      </w:r>
      <w:hyperlink r:id="rId9" w:history="1">
        <w:r w:rsidR="000879C2" w:rsidRPr="00E53C86">
          <w:rPr>
            <w:rStyle w:val="Hyperlink"/>
            <w:rFonts w:cstheme="minorHAnsi"/>
            <w:sz w:val="24"/>
            <w:szCs w:val="24"/>
          </w:rPr>
          <w:t>History/Legal History</w:t>
        </w:r>
      </w:hyperlink>
      <w:r w:rsidR="00996797" w:rsidRPr="00C106F3">
        <w:rPr>
          <w:rFonts w:cstheme="minorHAnsi"/>
          <w:sz w:val="24"/>
          <w:szCs w:val="24"/>
        </w:rPr>
        <w:t xml:space="preserve"> </w:t>
      </w:r>
    </w:p>
    <w:p w:rsidR="00F06BF3" w:rsidRPr="00C106F3" w:rsidRDefault="00F06BF3" w:rsidP="001461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 xml:space="preserve">In </w:t>
      </w:r>
      <w:r w:rsidR="00996797" w:rsidRPr="00C106F3">
        <w:rPr>
          <w:rFonts w:cstheme="minorHAnsi"/>
          <w:sz w:val="24"/>
          <w:szCs w:val="24"/>
        </w:rPr>
        <w:t xml:space="preserve">Research </w:t>
      </w:r>
      <w:r w:rsidRPr="00C106F3">
        <w:rPr>
          <w:rFonts w:cstheme="minorHAnsi"/>
          <w:sz w:val="24"/>
          <w:szCs w:val="24"/>
        </w:rPr>
        <w:t xml:space="preserve">Guide, under “Selected Books” tab, select: </w:t>
      </w:r>
      <w:r w:rsidRPr="00C106F3">
        <w:rPr>
          <w:rFonts w:cstheme="minorHAnsi"/>
          <w:i/>
          <w:sz w:val="24"/>
          <w:szCs w:val="24"/>
        </w:rPr>
        <w:t>Cambridge History of Law in America</w:t>
      </w:r>
      <w:r w:rsidRPr="00C106F3">
        <w:rPr>
          <w:rFonts w:cstheme="minorHAnsi"/>
          <w:sz w:val="24"/>
          <w:szCs w:val="24"/>
        </w:rPr>
        <w:t xml:space="preserve"> (2008); </w:t>
      </w:r>
      <w:r w:rsidR="00D15731" w:rsidRPr="00C106F3">
        <w:rPr>
          <w:rFonts w:cstheme="minorHAnsi"/>
          <w:sz w:val="24"/>
          <w:szCs w:val="24"/>
        </w:rPr>
        <w:t xml:space="preserve">Link to Library catalog record.    </w:t>
      </w:r>
      <w:r w:rsidRPr="00C106F3">
        <w:rPr>
          <w:rFonts w:cstheme="minorHAnsi"/>
          <w:sz w:val="24"/>
          <w:szCs w:val="24"/>
        </w:rPr>
        <w:t>C</w:t>
      </w:r>
      <w:r w:rsidR="0058066C" w:rsidRPr="00C106F3">
        <w:rPr>
          <w:rFonts w:cstheme="minorHAnsi"/>
          <w:sz w:val="24"/>
          <w:szCs w:val="24"/>
        </w:rPr>
        <w:t>ONTENTS</w:t>
      </w:r>
      <w:r w:rsidR="00996797" w:rsidRPr="00C106F3">
        <w:rPr>
          <w:rFonts w:cstheme="minorHAnsi"/>
          <w:sz w:val="24"/>
          <w:szCs w:val="24"/>
        </w:rPr>
        <w:t>: …   v. 2 (The Long Nineteenth Century)—Slavery, Antislavery, and the coming of the Civil War/Ariela Gross; …v. 3 (The Twentieth Century and After (1920-))—Making Law Making War, Making America/Mary L. Dudziak</w:t>
      </w:r>
    </w:p>
    <w:p w:rsidR="000879C2" w:rsidRDefault="002F742E" w:rsidP="001461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10" w:history="1">
        <w:r w:rsidR="000879C2" w:rsidRPr="00E53C86">
          <w:rPr>
            <w:rStyle w:val="Hyperlink"/>
            <w:rFonts w:cstheme="minorHAnsi"/>
            <w:sz w:val="24"/>
            <w:szCs w:val="24"/>
          </w:rPr>
          <w:t>Online catalog (LEXICAT)</w:t>
        </w:r>
      </w:hyperlink>
      <w:r w:rsidR="000879C2" w:rsidRPr="00C106F3">
        <w:rPr>
          <w:rFonts w:cstheme="minorHAnsi"/>
          <w:sz w:val="24"/>
          <w:szCs w:val="24"/>
        </w:rPr>
        <w:t xml:space="preserve">—finding a </w:t>
      </w:r>
      <w:r w:rsidR="00332000">
        <w:rPr>
          <w:rFonts w:cstheme="minorHAnsi"/>
          <w:sz w:val="24"/>
          <w:szCs w:val="24"/>
        </w:rPr>
        <w:t xml:space="preserve">good </w:t>
      </w:r>
      <w:r w:rsidR="000879C2" w:rsidRPr="00C106F3">
        <w:rPr>
          <w:rFonts w:cstheme="minorHAnsi"/>
          <w:sz w:val="24"/>
          <w:szCs w:val="24"/>
        </w:rPr>
        <w:t>background</w:t>
      </w:r>
      <w:r w:rsidR="00332000">
        <w:rPr>
          <w:rFonts w:cstheme="minorHAnsi"/>
          <w:sz w:val="24"/>
          <w:szCs w:val="24"/>
        </w:rPr>
        <w:t>,</w:t>
      </w:r>
      <w:r w:rsidR="000879C2" w:rsidRPr="00C106F3">
        <w:rPr>
          <w:rFonts w:cstheme="minorHAnsi"/>
          <w:sz w:val="24"/>
          <w:szCs w:val="24"/>
        </w:rPr>
        <w:t xml:space="preserve"> a good book on your </w:t>
      </w:r>
      <w:r w:rsidR="00524BD9" w:rsidRPr="00C106F3">
        <w:rPr>
          <w:rFonts w:cstheme="minorHAnsi"/>
          <w:sz w:val="24"/>
          <w:szCs w:val="24"/>
        </w:rPr>
        <w:t xml:space="preserve">specific </w:t>
      </w:r>
      <w:r w:rsidR="000879C2" w:rsidRPr="00C106F3">
        <w:rPr>
          <w:rFonts w:cstheme="minorHAnsi"/>
          <w:sz w:val="24"/>
          <w:szCs w:val="24"/>
        </w:rPr>
        <w:t>topic, and more</w:t>
      </w:r>
      <w:r w:rsidR="00332000">
        <w:rPr>
          <w:rFonts w:cstheme="minorHAnsi"/>
          <w:sz w:val="24"/>
          <w:szCs w:val="24"/>
        </w:rPr>
        <w:t xml:space="preserve"> (Congressional reports, hearings, videos) </w:t>
      </w:r>
    </w:p>
    <w:p w:rsidR="00E93D25" w:rsidRPr="00C106F3" w:rsidRDefault="00E93D25" w:rsidP="00E93D2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 xml:space="preserve">Search:  </w:t>
      </w:r>
      <w:r w:rsidR="00524BD9" w:rsidRPr="00C106F3">
        <w:rPr>
          <w:rFonts w:cstheme="minorHAnsi"/>
          <w:sz w:val="24"/>
          <w:szCs w:val="24"/>
        </w:rPr>
        <w:t>film censorship</w:t>
      </w:r>
    </w:p>
    <w:p w:rsidR="00E93D25" w:rsidRDefault="00EA0411" w:rsidP="00E93D2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102 results  (sorted by relevance)</w:t>
      </w:r>
    </w:p>
    <w:p w:rsidR="00EA0411" w:rsidRDefault="00EA0411" w:rsidP="00E93D2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Select:  </w:t>
      </w:r>
      <w:r w:rsidR="00756A85" w:rsidRPr="00756A85">
        <w:rPr>
          <w:rFonts w:cstheme="minorHAnsi"/>
          <w:i/>
          <w:sz w:val="24"/>
          <w:szCs w:val="24"/>
        </w:rPr>
        <w:t>The Miracle Case: Film Censorship and the Supreme Court</w:t>
      </w:r>
      <w:r w:rsidR="00756A85">
        <w:rPr>
          <w:rFonts w:cstheme="minorHAnsi"/>
          <w:sz w:val="24"/>
          <w:szCs w:val="24"/>
        </w:rPr>
        <w:t>/Laura Wittern-Keller</w:t>
      </w:r>
    </w:p>
    <w:p w:rsidR="00756A85" w:rsidRDefault="002C2120" w:rsidP="00E93D2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Note:  CONTENTS; SUMMARY</w:t>
      </w:r>
    </w:p>
    <w:p w:rsidR="00EE31C3" w:rsidRPr="00EE31C3" w:rsidRDefault="00EE31C3" w:rsidP="00E93D25">
      <w:pPr>
        <w:pStyle w:val="ListParagraph"/>
        <w:numPr>
          <w:ilvl w:val="1"/>
          <w:numId w:val="2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Select:  </w:t>
      </w:r>
      <w:r w:rsidRPr="00EE31C3">
        <w:rPr>
          <w:rFonts w:cstheme="minorHAnsi"/>
          <w:i/>
          <w:sz w:val="24"/>
          <w:szCs w:val="24"/>
        </w:rPr>
        <w:t xml:space="preserve">Freedom of the Screen [electronic resource]: Legal Challenges to State Film Censorship, 1915-1981. 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790831">
        <w:rPr>
          <w:rFonts w:cstheme="minorHAnsi"/>
          <w:sz w:val="24"/>
          <w:szCs w:val="24"/>
        </w:rPr>
        <w:t>eBook</w:t>
      </w:r>
      <w:r>
        <w:rPr>
          <w:rFonts w:cstheme="minorHAnsi"/>
          <w:sz w:val="24"/>
          <w:szCs w:val="24"/>
        </w:rPr>
        <w:t>)</w:t>
      </w:r>
    </w:p>
    <w:p w:rsidR="00EE31C3" w:rsidRPr="00332000" w:rsidRDefault="00EE31C3" w:rsidP="00E93D2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SUBJECT: </w:t>
      </w:r>
      <w:r w:rsidR="007B0615">
        <w:rPr>
          <w:rFonts w:cstheme="minorHAnsi"/>
          <w:sz w:val="24"/>
          <w:szCs w:val="24"/>
        </w:rPr>
        <w:t xml:space="preserve">  </w:t>
      </w:r>
      <w:r w:rsidR="007B0615" w:rsidRPr="007B0615">
        <w:t>Motion pictures -- Law and legislation -- United States</w:t>
      </w:r>
    </w:p>
    <w:p w:rsidR="000879C2" w:rsidRPr="00C106F3" w:rsidRDefault="000879C2" w:rsidP="00D33667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C106F3">
        <w:rPr>
          <w:rFonts w:cstheme="minorHAnsi"/>
          <w:b/>
          <w:sz w:val="24"/>
          <w:szCs w:val="24"/>
        </w:rPr>
        <w:t xml:space="preserve">Finding </w:t>
      </w:r>
      <w:r w:rsidR="00E93D25" w:rsidRPr="00C106F3">
        <w:rPr>
          <w:rFonts w:cstheme="minorHAnsi"/>
          <w:b/>
          <w:sz w:val="24"/>
          <w:szCs w:val="24"/>
        </w:rPr>
        <w:t xml:space="preserve">Other </w:t>
      </w:r>
      <w:r w:rsidRPr="00C106F3">
        <w:rPr>
          <w:rFonts w:cstheme="minorHAnsi"/>
          <w:b/>
          <w:sz w:val="24"/>
          <w:szCs w:val="24"/>
        </w:rPr>
        <w:t>Primary and Secondary Sources for a Research Paper</w:t>
      </w:r>
    </w:p>
    <w:p w:rsidR="00E93D25" w:rsidRPr="00C106F3" w:rsidRDefault="00E93D25" w:rsidP="00147E37">
      <w:pPr>
        <w:pStyle w:val="ListParagraph"/>
        <w:numPr>
          <w:ilvl w:val="0"/>
          <w:numId w:val="4"/>
        </w:numPr>
        <w:ind w:left="72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Congressional documents:  ProQuest Congressional  (legislative histories; specific documents)</w:t>
      </w:r>
    </w:p>
    <w:p w:rsidR="00D33667" w:rsidRPr="00C106F3" w:rsidRDefault="00D33667" w:rsidP="00147E37">
      <w:pPr>
        <w:pStyle w:val="ListParagraph"/>
        <w:numPr>
          <w:ilvl w:val="1"/>
          <w:numId w:val="4"/>
        </w:numPr>
        <w:ind w:left="1080" w:firstLine="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Helpful features: Sessions of Congress; glossary; explanation of terms</w:t>
      </w:r>
    </w:p>
    <w:p w:rsidR="00D33667" w:rsidRPr="00C106F3" w:rsidRDefault="00D33667" w:rsidP="00147E37">
      <w:pPr>
        <w:pStyle w:val="ListParagraph"/>
        <w:numPr>
          <w:ilvl w:val="1"/>
          <w:numId w:val="4"/>
        </w:numPr>
        <w:ind w:left="1080" w:firstLine="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Individual documents back to 1790; legislative histories from 1970 –</w:t>
      </w:r>
    </w:p>
    <w:p w:rsidR="00AA0CFD" w:rsidRPr="00C106F3" w:rsidRDefault="00AA0CFD" w:rsidP="00147E37">
      <w:pPr>
        <w:pStyle w:val="ListParagraph"/>
        <w:numPr>
          <w:ilvl w:val="1"/>
          <w:numId w:val="4"/>
        </w:numPr>
        <w:ind w:left="1080" w:firstLine="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 xml:space="preserve">If you need help using it, ask a reference librarian </w:t>
      </w:r>
    </w:p>
    <w:p w:rsidR="00AA0CFD" w:rsidRPr="00C106F3" w:rsidRDefault="00AA0CFD" w:rsidP="00147E37">
      <w:pPr>
        <w:pStyle w:val="ListParagraph"/>
        <w:numPr>
          <w:ilvl w:val="0"/>
          <w:numId w:val="4"/>
        </w:numPr>
        <w:tabs>
          <w:tab w:val="left" w:pos="360"/>
          <w:tab w:val="left" w:pos="1170"/>
        </w:tabs>
        <w:ind w:left="72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Congressional documents: HeinOnline (U.S. Federal Congressional Documents and U.S. Federal Legislative History libraries)</w:t>
      </w:r>
    </w:p>
    <w:p w:rsidR="00AA0CFD" w:rsidRPr="00C106F3" w:rsidRDefault="00AA0CFD" w:rsidP="00147E37">
      <w:pPr>
        <w:pStyle w:val="ListParagraph"/>
        <w:numPr>
          <w:ilvl w:val="0"/>
          <w:numId w:val="4"/>
        </w:numPr>
        <w:tabs>
          <w:tab w:val="left" w:pos="720"/>
          <w:tab w:val="left" w:pos="1170"/>
        </w:tabs>
        <w:ind w:left="72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lastRenderedPageBreak/>
        <w:t>Congressional documents (1875 and earlier):  A Century of Lawmaking for a New Nation: U.S. Congressional Documents and Debates, 1774-1875 (Library of Congress digital collection)</w:t>
      </w:r>
    </w:p>
    <w:p w:rsidR="00EB25AA" w:rsidRPr="00C106F3" w:rsidRDefault="00AA0CFD" w:rsidP="00147E37">
      <w:pPr>
        <w:pStyle w:val="ListParagraph"/>
        <w:numPr>
          <w:ilvl w:val="0"/>
          <w:numId w:val="4"/>
        </w:numPr>
        <w:ind w:left="72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S</w:t>
      </w:r>
      <w:r w:rsidR="009F3CE6" w:rsidRPr="00C106F3">
        <w:rPr>
          <w:rFonts w:cstheme="minorHAnsi"/>
          <w:sz w:val="24"/>
          <w:szCs w:val="24"/>
        </w:rPr>
        <w:t>upreme Court case records and briefs</w:t>
      </w:r>
      <w:r w:rsidR="000609F4" w:rsidRPr="00C106F3">
        <w:rPr>
          <w:rFonts w:cstheme="minorHAnsi"/>
          <w:sz w:val="24"/>
          <w:szCs w:val="24"/>
        </w:rPr>
        <w:t>:  Making of Modern Law:</w:t>
      </w:r>
      <w:r w:rsidR="00EB25AA" w:rsidRPr="00C106F3">
        <w:rPr>
          <w:rFonts w:cstheme="minorHAnsi"/>
          <w:sz w:val="24"/>
          <w:szCs w:val="24"/>
        </w:rPr>
        <w:t xml:space="preserve"> Supreme Court Records and Briefs, 1832-1978</w:t>
      </w:r>
    </w:p>
    <w:p w:rsidR="00F61214" w:rsidRPr="00C106F3" w:rsidRDefault="00FC0208" w:rsidP="00F8472C">
      <w:pPr>
        <w:pStyle w:val="ListParagraph"/>
        <w:numPr>
          <w:ilvl w:val="1"/>
          <w:numId w:val="4"/>
        </w:numPr>
        <w:ind w:left="1440"/>
        <w:rPr>
          <w:rFonts w:cstheme="minorHAnsi"/>
          <w:sz w:val="24"/>
          <w:szCs w:val="24"/>
        </w:rPr>
      </w:pPr>
      <w:r w:rsidRPr="00420922">
        <w:rPr>
          <w:rFonts w:cstheme="minorHAnsi"/>
          <w:sz w:val="24"/>
          <w:szCs w:val="24"/>
        </w:rPr>
        <w:t xml:space="preserve">Joseph </w:t>
      </w:r>
      <w:r w:rsidR="00C6579F" w:rsidRPr="00420922">
        <w:rPr>
          <w:rFonts w:cstheme="minorHAnsi"/>
          <w:sz w:val="24"/>
          <w:szCs w:val="24"/>
        </w:rPr>
        <w:t>Burstyn</w:t>
      </w:r>
      <w:r w:rsidRPr="00420922">
        <w:rPr>
          <w:rFonts w:cstheme="minorHAnsi"/>
          <w:sz w:val="24"/>
          <w:szCs w:val="24"/>
        </w:rPr>
        <w:t>, Inc.</w:t>
      </w:r>
      <w:r w:rsidR="00C6579F" w:rsidRPr="00420922">
        <w:rPr>
          <w:rFonts w:cstheme="minorHAnsi"/>
          <w:sz w:val="24"/>
          <w:szCs w:val="24"/>
        </w:rPr>
        <w:t xml:space="preserve"> v. Wilson</w:t>
      </w:r>
      <w:r w:rsidR="00C6579F" w:rsidRPr="00C106F3">
        <w:rPr>
          <w:rFonts w:cstheme="minorHAnsi"/>
          <w:sz w:val="24"/>
          <w:szCs w:val="24"/>
        </w:rPr>
        <w:t xml:space="preserve"> (</w:t>
      </w:r>
      <w:r w:rsidRPr="00C106F3">
        <w:rPr>
          <w:rFonts w:cstheme="minorHAnsi"/>
          <w:sz w:val="24"/>
          <w:szCs w:val="24"/>
        </w:rPr>
        <w:t xml:space="preserve">1952 </w:t>
      </w:r>
      <w:r w:rsidR="00C6579F" w:rsidRPr="00C106F3">
        <w:rPr>
          <w:rFonts w:cstheme="minorHAnsi"/>
          <w:sz w:val="24"/>
          <w:szCs w:val="24"/>
        </w:rPr>
        <w:t xml:space="preserve">movie censorship case involving the showing </w:t>
      </w:r>
      <w:r w:rsidR="00756A85">
        <w:rPr>
          <w:rFonts w:cstheme="minorHAnsi"/>
          <w:sz w:val="24"/>
          <w:szCs w:val="24"/>
        </w:rPr>
        <w:t>(</w:t>
      </w:r>
      <w:r w:rsidR="00C6579F" w:rsidRPr="00C106F3">
        <w:rPr>
          <w:rFonts w:cstheme="minorHAnsi"/>
          <w:sz w:val="24"/>
          <w:szCs w:val="24"/>
        </w:rPr>
        <w:t>in N</w:t>
      </w:r>
      <w:r w:rsidRPr="00C106F3">
        <w:rPr>
          <w:rFonts w:cstheme="minorHAnsi"/>
          <w:sz w:val="24"/>
          <w:szCs w:val="24"/>
        </w:rPr>
        <w:t>ew York</w:t>
      </w:r>
      <w:r w:rsidR="00756A85">
        <w:rPr>
          <w:rFonts w:cstheme="minorHAnsi"/>
          <w:sz w:val="24"/>
          <w:szCs w:val="24"/>
        </w:rPr>
        <w:t>)</w:t>
      </w:r>
      <w:r w:rsidR="00C6579F" w:rsidRPr="00C106F3">
        <w:rPr>
          <w:rFonts w:cstheme="minorHAnsi"/>
          <w:sz w:val="24"/>
          <w:szCs w:val="24"/>
        </w:rPr>
        <w:t xml:space="preserve"> of </w:t>
      </w:r>
      <w:r w:rsidR="00C6579F" w:rsidRPr="00756A85">
        <w:rPr>
          <w:rFonts w:cstheme="minorHAnsi"/>
          <w:sz w:val="24"/>
          <w:szCs w:val="24"/>
        </w:rPr>
        <w:t>The Miracle</w:t>
      </w:r>
      <w:r w:rsidR="00C6579F" w:rsidRPr="00C106F3">
        <w:rPr>
          <w:rFonts w:cstheme="minorHAnsi"/>
          <w:sz w:val="24"/>
          <w:szCs w:val="24"/>
        </w:rPr>
        <w:t xml:space="preserve">, a Roberto Rossellini film) </w:t>
      </w:r>
      <w:r w:rsidR="00F61214" w:rsidRPr="00C106F3">
        <w:rPr>
          <w:rFonts w:cstheme="minorHAnsi"/>
          <w:sz w:val="24"/>
          <w:szCs w:val="24"/>
        </w:rPr>
        <w:t xml:space="preserve">  </w:t>
      </w:r>
      <w:r w:rsidR="00445BD7" w:rsidRPr="00C106F3">
        <w:rPr>
          <w:rFonts w:cstheme="minorHAnsi"/>
          <w:sz w:val="24"/>
          <w:szCs w:val="24"/>
        </w:rPr>
        <w:t xml:space="preserve"> </w:t>
      </w:r>
    </w:p>
    <w:p w:rsidR="00C6579F" w:rsidRPr="00C106F3" w:rsidRDefault="00C6579F" w:rsidP="00F8472C">
      <w:pPr>
        <w:pStyle w:val="ListParagraph"/>
        <w:numPr>
          <w:ilvl w:val="1"/>
          <w:numId w:val="4"/>
        </w:numPr>
        <w:ind w:left="1080" w:firstLine="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 xml:space="preserve">Basic </w:t>
      </w:r>
      <w:r w:rsidR="00F61214" w:rsidRPr="00C106F3">
        <w:rPr>
          <w:rFonts w:cstheme="minorHAnsi"/>
          <w:sz w:val="24"/>
          <w:szCs w:val="24"/>
        </w:rPr>
        <w:t xml:space="preserve">Search: </w:t>
      </w:r>
      <w:r w:rsidRPr="00C106F3">
        <w:rPr>
          <w:rFonts w:cstheme="minorHAnsi"/>
          <w:sz w:val="24"/>
          <w:szCs w:val="24"/>
        </w:rPr>
        <w:t>Burstyn [case name]</w:t>
      </w:r>
    </w:p>
    <w:p w:rsidR="007E794E" w:rsidRPr="00C106F3" w:rsidRDefault="00C6579F" w:rsidP="00F8472C">
      <w:pPr>
        <w:pStyle w:val="ListParagraph"/>
        <w:numPr>
          <w:ilvl w:val="1"/>
          <w:numId w:val="4"/>
        </w:numPr>
        <w:ind w:left="144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Result—9 documents</w:t>
      </w:r>
      <w:r w:rsidR="00FC0208" w:rsidRPr="00C106F3">
        <w:rPr>
          <w:rFonts w:cstheme="minorHAnsi"/>
          <w:sz w:val="24"/>
          <w:szCs w:val="24"/>
        </w:rPr>
        <w:t>, including amicus briefs</w:t>
      </w:r>
      <w:r w:rsidR="00F61214" w:rsidRPr="00C106F3">
        <w:rPr>
          <w:rFonts w:cstheme="minorHAnsi"/>
          <w:sz w:val="24"/>
          <w:szCs w:val="24"/>
        </w:rPr>
        <w:t xml:space="preserve"> </w:t>
      </w:r>
    </w:p>
    <w:p w:rsidR="007E794E" w:rsidRPr="00C106F3" w:rsidRDefault="007E794E" w:rsidP="0027136A">
      <w:pPr>
        <w:pStyle w:val="ListParagraph"/>
        <w:numPr>
          <w:ilvl w:val="0"/>
          <w:numId w:val="4"/>
        </w:numPr>
        <w:ind w:left="72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Historical American law treatises:  Making of Modern Law: Legal Treatises 1800 – 1926.</w:t>
      </w:r>
    </w:p>
    <w:p w:rsidR="007E794E" w:rsidRPr="00C106F3" w:rsidRDefault="007E794E" w:rsidP="00F8472C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Example:  American treatises on the law of slavery, antebellum period</w:t>
      </w:r>
    </w:p>
    <w:p w:rsidR="007E794E" w:rsidRPr="00C106F3" w:rsidRDefault="007E794E" w:rsidP="00F8472C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 xml:space="preserve">Limit to:  Treatises on American Law; </w:t>
      </w:r>
      <w:r w:rsidR="00420922">
        <w:rPr>
          <w:rFonts w:cstheme="minorHAnsi"/>
          <w:sz w:val="24"/>
          <w:szCs w:val="24"/>
        </w:rPr>
        <w:t xml:space="preserve"> </w:t>
      </w:r>
      <w:r w:rsidRPr="00C106F3">
        <w:rPr>
          <w:rFonts w:cstheme="minorHAnsi"/>
          <w:sz w:val="24"/>
          <w:szCs w:val="24"/>
        </w:rPr>
        <w:t>Search:  slavery</w:t>
      </w:r>
    </w:p>
    <w:p w:rsidR="007E794E" w:rsidRPr="00C106F3" w:rsidRDefault="007E794E" w:rsidP="00F8472C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Default: results sorted by “date, ascending”  (oldest first)</w:t>
      </w:r>
    </w:p>
    <w:p w:rsidR="007E794E" w:rsidRPr="00C106F3" w:rsidRDefault="007E794E" w:rsidP="00F8472C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9</w:t>
      </w:r>
      <w:r w:rsidRPr="00C106F3">
        <w:rPr>
          <w:rFonts w:cstheme="minorHAnsi"/>
          <w:sz w:val="24"/>
          <w:szCs w:val="24"/>
          <w:vertAlign w:val="superscript"/>
        </w:rPr>
        <w:t>th</w:t>
      </w:r>
      <w:r w:rsidRPr="00C106F3">
        <w:rPr>
          <w:rFonts w:cstheme="minorHAnsi"/>
          <w:sz w:val="24"/>
          <w:szCs w:val="24"/>
        </w:rPr>
        <w:t xml:space="preserve"> title:  </w:t>
      </w:r>
      <w:r w:rsidRPr="00C106F3">
        <w:rPr>
          <w:sz w:val="24"/>
          <w:szCs w:val="24"/>
        </w:rPr>
        <w:t xml:space="preserve">Wheeler, Jacob D. </w:t>
      </w:r>
      <w:r w:rsidR="003C0BF5" w:rsidRPr="00C106F3">
        <w:rPr>
          <w:sz w:val="24"/>
          <w:szCs w:val="24"/>
        </w:rPr>
        <w:t xml:space="preserve"> </w:t>
      </w:r>
      <w:r w:rsidRPr="00C106F3">
        <w:rPr>
          <w:bCs/>
          <w:i/>
          <w:iCs/>
          <w:sz w:val="24"/>
          <w:szCs w:val="24"/>
        </w:rPr>
        <w:t xml:space="preserve">A </w:t>
      </w:r>
      <w:r w:rsidR="00A14D6A" w:rsidRPr="00C106F3">
        <w:rPr>
          <w:bCs/>
          <w:i/>
          <w:iCs/>
          <w:sz w:val="24"/>
          <w:szCs w:val="24"/>
        </w:rPr>
        <w:t>P</w:t>
      </w:r>
      <w:r w:rsidRPr="00C106F3">
        <w:rPr>
          <w:bCs/>
          <w:i/>
          <w:iCs/>
          <w:sz w:val="24"/>
          <w:szCs w:val="24"/>
        </w:rPr>
        <w:t>ractical</w:t>
      </w:r>
      <w:r w:rsidR="00A14D6A" w:rsidRPr="00C106F3">
        <w:rPr>
          <w:bCs/>
          <w:i/>
          <w:iCs/>
          <w:sz w:val="24"/>
          <w:szCs w:val="24"/>
        </w:rPr>
        <w:t xml:space="preserve"> T</w:t>
      </w:r>
      <w:r w:rsidRPr="00C106F3">
        <w:rPr>
          <w:bCs/>
          <w:i/>
          <w:iCs/>
          <w:sz w:val="24"/>
          <w:szCs w:val="24"/>
        </w:rPr>
        <w:t>reatise on the</w:t>
      </w:r>
      <w:r w:rsidR="00A14D6A" w:rsidRPr="00C106F3">
        <w:rPr>
          <w:bCs/>
          <w:i/>
          <w:iCs/>
          <w:sz w:val="24"/>
          <w:szCs w:val="24"/>
        </w:rPr>
        <w:t xml:space="preserve"> L</w:t>
      </w:r>
      <w:r w:rsidRPr="00C106F3">
        <w:rPr>
          <w:bCs/>
          <w:i/>
          <w:iCs/>
          <w:sz w:val="24"/>
          <w:szCs w:val="24"/>
        </w:rPr>
        <w:t xml:space="preserve">aw of </w:t>
      </w:r>
      <w:r w:rsidR="00A14D6A" w:rsidRPr="00C106F3">
        <w:rPr>
          <w:bCs/>
          <w:i/>
          <w:iCs/>
          <w:sz w:val="24"/>
          <w:szCs w:val="24"/>
        </w:rPr>
        <w:t>S</w:t>
      </w:r>
      <w:r w:rsidRPr="00C106F3">
        <w:rPr>
          <w:bCs/>
          <w:i/>
          <w:iCs/>
          <w:sz w:val="24"/>
          <w:szCs w:val="24"/>
        </w:rPr>
        <w:t>lavery: being a compilation of all the decisions made on that subject, in the several courts of the United</w:t>
      </w:r>
      <w:r w:rsidR="00172842" w:rsidRPr="00C106F3">
        <w:rPr>
          <w:bCs/>
          <w:i/>
          <w:iCs/>
          <w:sz w:val="24"/>
          <w:szCs w:val="24"/>
        </w:rPr>
        <w:t xml:space="preserve"> States and State Courts</w:t>
      </w:r>
      <w:r w:rsidRPr="00C106F3">
        <w:rPr>
          <w:bCs/>
          <w:i/>
          <w:iCs/>
          <w:sz w:val="24"/>
          <w:szCs w:val="24"/>
        </w:rPr>
        <w:t>...</w:t>
      </w:r>
      <w:r w:rsidRPr="00C106F3">
        <w:rPr>
          <w:sz w:val="24"/>
          <w:szCs w:val="24"/>
        </w:rPr>
        <w:t xml:space="preserve"> New York, 1837.</w:t>
      </w:r>
      <w:r w:rsidRPr="00C106F3">
        <w:rPr>
          <w:rFonts w:cstheme="minorHAnsi"/>
          <w:sz w:val="24"/>
          <w:szCs w:val="24"/>
        </w:rPr>
        <w:t xml:space="preserve"> </w:t>
      </w:r>
    </w:p>
    <w:p w:rsidR="00D33667" w:rsidRPr="00C106F3" w:rsidRDefault="009F3CE6" w:rsidP="0027136A">
      <w:pPr>
        <w:pStyle w:val="ListParagraph"/>
        <w:numPr>
          <w:ilvl w:val="0"/>
          <w:numId w:val="4"/>
        </w:numPr>
        <w:ind w:left="72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Multidisciplinary scholarly articles on historical topics:  JSTOR</w:t>
      </w:r>
    </w:p>
    <w:p w:rsidR="009E16A8" w:rsidRPr="00C106F3" w:rsidRDefault="009D6B94" w:rsidP="00DF14B0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Select: Advanced search</w:t>
      </w:r>
    </w:p>
    <w:p w:rsidR="009D6B94" w:rsidRPr="00C106F3" w:rsidRDefault="009D6B94" w:rsidP="00DF14B0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Check</w:t>
      </w:r>
      <w:r w:rsidR="00CC28AD" w:rsidRPr="00C106F3">
        <w:rPr>
          <w:rFonts w:cstheme="minorHAnsi"/>
          <w:sz w:val="24"/>
          <w:szCs w:val="24"/>
        </w:rPr>
        <w:t xml:space="preserve"> disciplines</w:t>
      </w:r>
      <w:r w:rsidRPr="00C106F3">
        <w:rPr>
          <w:rFonts w:cstheme="minorHAnsi"/>
          <w:sz w:val="24"/>
          <w:szCs w:val="24"/>
        </w:rPr>
        <w:t xml:space="preserve">:  </w:t>
      </w:r>
      <w:r w:rsidR="005C1A58" w:rsidRPr="00C106F3">
        <w:rPr>
          <w:rFonts w:cstheme="minorHAnsi"/>
          <w:sz w:val="24"/>
          <w:szCs w:val="24"/>
        </w:rPr>
        <w:t xml:space="preserve">African American Studies, American Studies, </w:t>
      </w:r>
      <w:r w:rsidRPr="00C106F3">
        <w:rPr>
          <w:rFonts w:cstheme="minorHAnsi"/>
          <w:sz w:val="24"/>
          <w:szCs w:val="24"/>
        </w:rPr>
        <w:t>History, Law</w:t>
      </w:r>
    </w:p>
    <w:p w:rsidR="006D78A8" w:rsidRPr="00C106F3" w:rsidRDefault="00247D2F" w:rsidP="00DF14B0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 xml:space="preserve">Search: </w:t>
      </w:r>
      <w:r w:rsidR="005C1A58" w:rsidRPr="00C106F3">
        <w:rPr>
          <w:rFonts w:cstheme="minorHAnsi"/>
          <w:sz w:val="24"/>
          <w:szCs w:val="24"/>
        </w:rPr>
        <w:t>“slave law” AND jurisprudence [full text]</w:t>
      </w:r>
      <w:r w:rsidRPr="00C106F3">
        <w:rPr>
          <w:rFonts w:cstheme="minorHAnsi"/>
          <w:sz w:val="24"/>
          <w:szCs w:val="24"/>
        </w:rPr>
        <w:t xml:space="preserve"> </w:t>
      </w:r>
    </w:p>
    <w:p w:rsidR="00CC28AD" w:rsidRPr="00C106F3" w:rsidRDefault="00CC28AD" w:rsidP="00DF14B0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Re</w:t>
      </w:r>
      <w:r w:rsidR="00DD1807" w:rsidRPr="00C106F3">
        <w:rPr>
          <w:rFonts w:cstheme="minorHAnsi"/>
          <w:sz w:val="24"/>
          <w:szCs w:val="24"/>
        </w:rPr>
        <w:t>sults: 257</w:t>
      </w:r>
    </w:p>
    <w:p w:rsidR="00DD1807" w:rsidRPr="00C106F3" w:rsidRDefault="00DD1807" w:rsidP="00DF14B0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Select: #23—</w:t>
      </w:r>
      <w:r w:rsidRPr="00C106F3">
        <w:rPr>
          <w:rFonts w:cstheme="minorHAnsi"/>
          <w:i/>
          <w:sz w:val="24"/>
          <w:szCs w:val="24"/>
        </w:rPr>
        <w:t>The Federal “Posse Comitatus” Doctrine: Slavery, Compulsion, and Statecraft in Mid-Nineteenth-Century</w:t>
      </w:r>
      <w:r w:rsidRPr="00C106F3">
        <w:rPr>
          <w:rFonts w:cstheme="minorHAnsi"/>
          <w:sz w:val="24"/>
          <w:szCs w:val="24"/>
        </w:rPr>
        <w:t xml:space="preserve"> America/Gautham Rao, Law and History Review (2008) </w:t>
      </w:r>
    </w:p>
    <w:p w:rsidR="00986AA6" w:rsidRPr="00C106F3" w:rsidRDefault="00986AA6" w:rsidP="00FB6C75">
      <w:pPr>
        <w:pStyle w:val="ListParagraph"/>
        <w:numPr>
          <w:ilvl w:val="0"/>
          <w:numId w:val="4"/>
        </w:numPr>
        <w:ind w:left="72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Papers and forthcoming journal articles—new and recent scholarship: SSRN</w:t>
      </w:r>
    </w:p>
    <w:p w:rsidR="00C77F3F" w:rsidRPr="00C106F3" w:rsidRDefault="00C77F3F" w:rsidP="00FB6C7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1080" w:firstLine="0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C106F3">
        <w:rPr>
          <w:rFonts w:eastAsia="Times New Roman" w:cs="Times New Roman"/>
          <w:bCs/>
          <w:kern w:val="36"/>
          <w:sz w:val="24"/>
          <w:szCs w:val="24"/>
        </w:rPr>
        <w:t>Search:  Hirabayashi</w:t>
      </w:r>
    </w:p>
    <w:p w:rsidR="00C77F3F" w:rsidRPr="00C106F3" w:rsidRDefault="00C77F3F" w:rsidP="00FB6C7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1440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C106F3">
        <w:rPr>
          <w:rFonts w:eastAsia="Times New Roman" w:cs="Times New Roman"/>
          <w:bCs/>
          <w:kern w:val="36"/>
          <w:sz w:val="24"/>
          <w:szCs w:val="24"/>
        </w:rPr>
        <w:t>Select:  #</w:t>
      </w:r>
      <w:r w:rsidR="004A5FD6">
        <w:rPr>
          <w:rFonts w:eastAsia="Times New Roman" w:cs="Times New Roman"/>
          <w:bCs/>
          <w:kern w:val="36"/>
          <w:sz w:val="24"/>
          <w:szCs w:val="24"/>
        </w:rPr>
        <w:t>1</w:t>
      </w:r>
      <w:r w:rsidRPr="00C106F3">
        <w:rPr>
          <w:rFonts w:eastAsia="Times New Roman" w:cs="Times New Roman"/>
          <w:bCs/>
          <w:kern w:val="36"/>
          <w:sz w:val="24"/>
          <w:szCs w:val="24"/>
        </w:rPr>
        <w:t>—</w:t>
      </w:r>
      <w:proofErr w:type="spellStart"/>
      <w:r w:rsidRPr="00C106F3">
        <w:rPr>
          <w:rFonts w:eastAsia="Times New Roman" w:cs="Times New Roman"/>
          <w:bCs/>
          <w:i/>
          <w:kern w:val="36"/>
          <w:sz w:val="24"/>
          <w:szCs w:val="24"/>
        </w:rPr>
        <w:t>Hirabayashi</w:t>
      </w:r>
      <w:proofErr w:type="spellEnd"/>
      <w:r w:rsidRPr="00C106F3">
        <w:rPr>
          <w:rFonts w:eastAsia="Times New Roman" w:cs="Times New Roman"/>
          <w:bCs/>
          <w:i/>
          <w:kern w:val="36"/>
          <w:sz w:val="24"/>
          <w:szCs w:val="24"/>
        </w:rPr>
        <w:t xml:space="preserve">:  The Biggest Lie of the Greatest Generation, UNC Legal Studies Research Paper </w:t>
      </w:r>
      <w:r w:rsidRPr="00C106F3">
        <w:rPr>
          <w:rFonts w:eastAsia="Times New Roman" w:cs="Times New Roman"/>
          <w:bCs/>
          <w:kern w:val="36"/>
          <w:sz w:val="24"/>
          <w:szCs w:val="24"/>
        </w:rPr>
        <w:t>(2008)</w:t>
      </w:r>
      <w:r w:rsidR="002F742E">
        <w:rPr>
          <w:rFonts w:eastAsia="Times New Roman" w:cs="Times New Roman"/>
          <w:bCs/>
          <w:kern w:val="36"/>
          <w:sz w:val="24"/>
          <w:szCs w:val="24"/>
        </w:rPr>
        <w:t xml:space="preserve">              </w:t>
      </w:r>
      <w:bookmarkStart w:id="0" w:name="_GoBack"/>
      <w:bookmarkEnd w:id="0"/>
    </w:p>
    <w:p w:rsidR="009F3CE6" w:rsidRPr="00C106F3" w:rsidRDefault="009F3CE6" w:rsidP="00480685">
      <w:pPr>
        <w:pStyle w:val="ListParagraph"/>
        <w:numPr>
          <w:ilvl w:val="0"/>
          <w:numId w:val="4"/>
        </w:numPr>
        <w:ind w:left="72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History web sites:  Famous Trials, History Matters</w:t>
      </w:r>
      <w:r w:rsidR="001D20CA" w:rsidRPr="00C106F3">
        <w:rPr>
          <w:rFonts w:cstheme="minorHAnsi"/>
          <w:sz w:val="24"/>
          <w:szCs w:val="24"/>
        </w:rPr>
        <w:t xml:space="preserve"> (primary documents, sources and links)</w:t>
      </w:r>
    </w:p>
    <w:p w:rsidR="00F06BF3" w:rsidRPr="00C106F3" w:rsidRDefault="009F3CE6" w:rsidP="00480685">
      <w:pPr>
        <w:pStyle w:val="ListParagraph"/>
        <w:numPr>
          <w:ilvl w:val="1"/>
          <w:numId w:val="4"/>
        </w:numPr>
        <w:ind w:left="144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Sample:  Famous Trials—</w:t>
      </w:r>
      <w:r w:rsidR="00004B45" w:rsidRPr="00C106F3">
        <w:rPr>
          <w:rFonts w:cstheme="minorHAnsi"/>
          <w:sz w:val="24"/>
          <w:szCs w:val="24"/>
        </w:rPr>
        <w:t>Celia: A Slave</w:t>
      </w:r>
      <w:r w:rsidR="001D20CA" w:rsidRPr="00C106F3">
        <w:rPr>
          <w:rFonts w:cstheme="minorHAnsi"/>
          <w:sz w:val="24"/>
          <w:szCs w:val="24"/>
        </w:rPr>
        <w:t xml:space="preserve"> Trial (main page) </w:t>
      </w:r>
      <w:r w:rsidRPr="00C106F3">
        <w:rPr>
          <w:rFonts w:cstheme="minorHAnsi"/>
          <w:sz w:val="24"/>
          <w:szCs w:val="24"/>
        </w:rPr>
        <w:t>Dred Scott Tria</w:t>
      </w:r>
      <w:r w:rsidR="001D20CA" w:rsidRPr="00C106F3">
        <w:rPr>
          <w:rFonts w:cstheme="minorHAnsi"/>
          <w:sz w:val="24"/>
          <w:szCs w:val="24"/>
        </w:rPr>
        <w:t>l</w:t>
      </w:r>
      <w:r w:rsidR="00F20381" w:rsidRPr="00C106F3">
        <w:rPr>
          <w:rFonts w:cstheme="minorHAnsi"/>
          <w:sz w:val="24"/>
          <w:szCs w:val="24"/>
        </w:rPr>
        <w:t xml:space="preserve"> (</w:t>
      </w:r>
      <w:r w:rsidR="00832F5F" w:rsidRPr="00C106F3">
        <w:rPr>
          <w:rFonts w:cstheme="minorHAnsi"/>
          <w:sz w:val="24"/>
          <w:szCs w:val="24"/>
        </w:rPr>
        <w:t>“Other Famous Trials” link at bottom of main page)</w:t>
      </w:r>
      <w:r w:rsidR="006D78A8" w:rsidRPr="00C106F3">
        <w:rPr>
          <w:rFonts w:cstheme="minorHAnsi"/>
          <w:sz w:val="24"/>
          <w:szCs w:val="24"/>
        </w:rPr>
        <w:t xml:space="preserve"> </w:t>
      </w:r>
    </w:p>
    <w:p w:rsidR="00A14D6A" w:rsidRPr="00C106F3" w:rsidRDefault="00D15731" w:rsidP="00024E3B">
      <w:pPr>
        <w:pStyle w:val="ListParagraph"/>
        <w:numPr>
          <w:ilvl w:val="0"/>
          <w:numId w:val="4"/>
        </w:numPr>
        <w:ind w:left="720"/>
        <w:rPr>
          <w:rStyle w:val="Strong"/>
          <w:rFonts w:cstheme="minorHAnsi"/>
          <w:b w:val="0"/>
          <w:bCs w:val="0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C</w:t>
      </w:r>
      <w:r w:rsidR="00A14D6A" w:rsidRPr="00C106F3">
        <w:rPr>
          <w:rFonts w:cstheme="minorHAnsi"/>
          <w:sz w:val="24"/>
          <w:szCs w:val="24"/>
        </w:rPr>
        <w:t>onstitutional jurisprudence topics</w:t>
      </w:r>
      <w:r w:rsidRPr="00C106F3">
        <w:rPr>
          <w:rFonts w:cstheme="minorHAnsi"/>
          <w:sz w:val="24"/>
          <w:szCs w:val="24"/>
        </w:rPr>
        <w:t xml:space="preserve"> (additional recommended source):</w:t>
      </w:r>
      <w:r w:rsidR="00A14D6A" w:rsidRPr="00C106F3">
        <w:rPr>
          <w:rFonts w:cstheme="minorHAnsi"/>
          <w:sz w:val="24"/>
          <w:szCs w:val="24"/>
        </w:rPr>
        <w:t xml:space="preserve"> </w:t>
      </w:r>
      <w:r w:rsidR="00A14D6A" w:rsidRPr="00C106F3">
        <w:rPr>
          <w:rStyle w:val="Strong"/>
          <w:b w:val="0"/>
          <w:i/>
          <w:sz w:val="24"/>
          <w:szCs w:val="24"/>
        </w:rPr>
        <w:t xml:space="preserve">The </w:t>
      </w:r>
      <w:r w:rsidRPr="00C106F3">
        <w:rPr>
          <w:rStyle w:val="Strong"/>
          <w:b w:val="0"/>
          <w:i/>
          <w:sz w:val="24"/>
          <w:szCs w:val="24"/>
        </w:rPr>
        <w:t>J</w:t>
      </w:r>
      <w:r w:rsidR="00A14D6A" w:rsidRPr="00C106F3">
        <w:rPr>
          <w:rStyle w:val="Strong"/>
          <w:b w:val="0"/>
          <w:i/>
          <w:sz w:val="24"/>
          <w:szCs w:val="24"/>
        </w:rPr>
        <w:t xml:space="preserve">urisprudence of United States </w:t>
      </w:r>
      <w:r w:rsidRPr="00C106F3">
        <w:rPr>
          <w:rStyle w:val="Strong"/>
          <w:b w:val="0"/>
          <w:i/>
          <w:sz w:val="24"/>
          <w:szCs w:val="24"/>
        </w:rPr>
        <w:t>C</w:t>
      </w:r>
      <w:r w:rsidR="00A14D6A" w:rsidRPr="00C106F3">
        <w:rPr>
          <w:rStyle w:val="Strong"/>
          <w:b w:val="0"/>
          <w:i/>
          <w:sz w:val="24"/>
          <w:szCs w:val="24"/>
        </w:rPr>
        <w:t xml:space="preserve">onstitutional </w:t>
      </w:r>
      <w:r w:rsidRPr="00C106F3">
        <w:rPr>
          <w:rStyle w:val="Strong"/>
          <w:b w:val="0"/>
          <w:i/>
          <w:sz w:val="24"/>
          <w:szCs w:val="24"/>
        </w:rPr>
        <w:t>I</w:t>
      </w:r>
      <w:r w:rsidR="00A14D6A" w:rsidRPr="00C106F3">
        <w:rPr>
          <w:rStyle w:val="Strong"/>
          <w:b w:val="0"/>
          <w:i/>
          <w:sz w:val="24"/>
          <w:szCs w:val="24"/>
        </w:rPr>
        <w:t xml:space="preserve">nterpretation: an annotated bibliography / </w:t>
      </w:r>
      <w:r w:rsidR="00A14D6A" w:rsidRPr="00C106F3">
        <w:rPr>
          <w:rStyle w:val="Strong"/>
          <w:b w:val="0"/>
          <w:sz w:val="24"/>
          <w:szCs w:val="24"/>
        </w:rPr>
        <w:t xml:space="preserve">Shelley L. Dowling. (2d </w:t>
      </w:r>
      <w:r w:rsidR="00790831" w:rsidRPr="00C106F3">
        <w:rPr>
          <w:rStyle w:val="Strong"/>
          <w:b w:val="0"/>
          <w:sz w:val="24"/>
          <w:szCs w:val="24"/>
        </w:rPr>
        <w:t>ed</w:t>
      </w:r>
      <w:r w:rsidR="00790831">
        <w:rPr>
          <w:rStyle w:val="Strong"/>
          <w:b w:val="0"/>
          <w:sz w:val="24"/>
          <w:szCs w:val="24"/>
        </w:rPr>
        <w:t>.</w:t>
      </w:r>
      <w:r w:rsidR="00A14D6A" w:rsidRPr="00C106F3">
        <w:rPr>
          <w:rStyle w:val="Strong"/>
          <w:b w:val="0"/>
          <w:sz w:val="24"/>
          <w:szCs w:val="24"/>
        </w:rPr>
        <w:t>, 2010)</w:t>
      </w:r>
      <w:r w:rsidR="00A14D6A" w:rsidRPr="00C106F3">
        <w:rPr>
          <w:sz w:val="24"/>
          <w:szCs w:val="24"/>
        </w:rPr>
        <w:t> </w:t>
      </w:r>
      <w:hyperlink r:id="rId11" w:history="1">
        <w:r w:rsidR="00A14D6A" w:rsidRPr="00C106F3">
          <w:rPr>
            <w:sz w:val="24"/>
            <w:szCs w:val="24"/>
            <w:u w:val="single"/>
          </w:rPr>
          <w:t>KF4546.A1 D69 2010</w:t>
        </w:r>
      </w:hyperlink>
      <w:r w:rsidR="00A14D6A" w:rsidRPr="00C106F3">
        <w:rPr>
          <w:sz w:val="24"/>
          <w:szCs w:val="24"/>
        </w:rPr>
        <w:t xml:space="preserve">  </w:t>
      </w:r>
    </w:p>
    <w:p w:rsidR="00024E3B" w:rsidRDefault="00024E3B" w:rsidP="00AA0CFD">
      <w:pPr>
        <w:ind w:left="1080"/>
        <w:rPr>
          <w:rFonts w:cstheme="minorHAnsi"/>
          <w:sz w:val="24"/>
          <w:szCs w:val="24"/>
        </w:rPr>
      </w:pPr>
    </w:p>
    <w:p w:rsidR="001B0E1A" w:rsidRPr="00C106F3" w:rsidRDefault="001B0E1A" w:rsidP="00024E3B">
      <w:pPr>
        <w:ind w:left="1080" w:hanging="72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 xml:space="preserve">WANT TO DISCUSS YOUR TOPIC OR SPECIFIC REOURCES? </w:t>
      </w:r>
    </w:p>
    <w:p w:rsidR="00986AA6" w:rsidRPr="00C106F3" w:rsidRDefault="00986AA6" w:rsidP="00024E3B">
      <w:pPr>
        <w:ind w:left="1080" w:hanging="72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>M</w:t>
      </w:r>
      <w:r w:rsidR="00247D2F" w:rsidRPr="00C106F3">
        <w:rPr>
          <w:rFonts w:cstheme="minorHAnsi"/>
          <w:sz w:val="24"/>
          <w:szCs w:val="24"/>
        </w:rPr>
        <w:t xml:space="preserve">eetings with Toni </w:t>
      </w:r>
      <w:r w:rsidRPr="00C106F3">
        <w:rPr>
          <w:rFonts w:cstheme="minorHAnsi"/>
          <w:sz w:val="24"/>
          <w:szCs w:val="24"/>
        </w:rPr>
        <w:t xml:space="preserve">Aiello </w:t>
      </w:r>
      <w:r w:rsidR="00247D2F" w:rsidRPr="00C106F3">
        <w:rPr>
          <w:rFonts w:cstheme="minorHAnsi"/>
          <w:sz w:val="24"/>
          <w:szCs w:val="24"/>
        </w:rPr>
        <w:t>can be arranged by appointment</w:t>
      </w:r>
      <w:r w:rsidRPr="00C106F3">
        <w:rPr>
          <w:rFonts w:cstheme="minorHAnsi"/>
          <w:sz w:val="24"/>
          <w:szCs w:val="24"/>
        </w:rPr>
        <w:t>, Tuesday</w:t>
      </w:r>
      <w:r w:rsidR="001B0E1A" w:rsidRPr="00C106F3">
        <w:rPr>
          <w:rFonts w:cstheme="minorHAnsi"/>
          <w:sz w:val="24"/>
          <w:szCs w:val="24"/>
        </w:rPr>
        <w:t xml:space="preserve"> </w:t>
      </w:r>
      <w:r w:rsidRPr="00C106F3">
        <w:rPr>
          <w:rFonts w:cstheme="minorHAnsi"/>
          <w:sz w:val="24"/>
          <w:szCs w:val="24"/>
        </w:rPr>
        <w:t>– Friday, 9-5</w:t>
      </w:r>
    </w:p>
    <w:p w:rsidR="008F2319" w:rsidRPr="00C106F3" w:rsidRDefault="00986AA6" w:rsidP="00024E3B">
      <w:pPr>
        <w:ind w:left="1080" w:hanging="720"/>
        <w:rPr>
          <w:rFonts w:cstheme="minorHAnsi"/>
          <w:sz w:val="24"/>
          <w:szCs w:val="24"/>
        </w:rPr>
      </w:pPr>
      <w:r w:rsidRPr="00C106F3">
        <w:rPr>
          <w:rFonts w:cstheme="minorHAnsi"/>
          <w:sz w:val="24"/>
          <w:szCs w:val="24"/>
        </w:rPr>
        <w:t xml:space="preserve">Contact Toni:  </w:t>
      </w:r>
      <w:r w:rsidR="00247D2F" w:rsidRPr="00C106F3">
        <w:rPr>
          <w:rFonts w:cstheme="minorHAnsi"/>
          <w:sz w:val="24"/>
          <w:szCs w:val="24"/>
        </w:rPr>
        <w:t xml:space="preserve">email: </w:t>
      </w:r>
      <w:hyperlink r:id="rId12" w:history="1">
        <w:r w:rsidR="00247D2F" w:rsidRPr="00C106F3">
          <w:rPr>
            <w:rStyle w:val="Hyperlink"/>
            <w:rFonts w:cstheme="minorHAnsi"/>
            <w:sz w:val="24"/>
            <w:szCs w:val="24"/>
          </w:rPr>
          <w:t>toni.aiello@hofstra.edu</w:t>
        </w:r>
      </w:hyperlink>
      <w:r w:rsidR="00247D2F" w:rsidRPr="00C106F3">
        <w:rPr>
          <w:rFonts w:cstheme="minorHAnsi"/>
          <w:sz w:val="24"/>
          <w:szCs w:val="24"/>
        </w:rPr>
        <w:t xml:space="preserve">  (</w:t>
      </w:r>
      <w:r w:rsidR="00AA0CFD" w:rsidRPr="00C106F3">
        <w:rPr>
          <w:rFonts w:cstheme="minorHAnsi"/>
          <w:sz w:val="24"/>
          <w:szCs w:val="24"/>
        </w:rPr>
        <w:t xml:space="preserve">Law Library, </w:t>
      </w:r>
      <w:r w:rsidR="00247D2F" w:rsidRPr="00C106F3">
        <w:rPr>
          <w:rFonts w:cstheme="minorHAnsi"/>
          <w:sz w:val="24"/>
          <w:szCs w:val="24"/>
        </w:rPr>
        <w:t>Room 100G)</w:t>
      </w:r>
      <w:r w:rsidRPr="00C106F3">
        <w:rPr>
          <w:rFonts w:cstheme="minorHAnsi"/>
          <w:sz w:val="24"/>
          <w:szCs w:val="24"/>
        </w:rPr>
        <w:t>; 516-463-7808</w:t>
      </w:r>
    </w:p>
    <w:sectPr w:rsidR="008F2319" w:rsidRPr="00C106F3" w:rsidSect="008F2319">
      <w:footerReference w:type="default" r:id="rId13"/>
      <w:pgSz w:w="12240" w:h="15840"/>
      <w:pgMar w:top="1008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18" w:rsidRDefault="00C17818" w:rsidP="00C17818">
      <w:pPr>
        <w:spacing w:after="0" w:line="240" w:lineRule="auto"/>
      </w:pPr>
      <w:r>
        <w:separator/>
      </w:r>
    </w:p>
  </w:endnote>
  <w:endnote w:type="continuationSeparator" w:id="0">
    <w:p w:rsidR="00C17818" w:rsidRDefault="00C17818" w:rsidP="00C1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83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818" w:rsidRDefault="00C178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4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818" w:rsidRDefault="00C17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18" w:rsidRDefault="00C17818" w:rsidP="00C17818">
      <w:pPr>
        <w:spacing w:after="0" w:line="240" w:lineRule="auto"/>
      </w:pPr>
      <w:r>
        <w:separator/>
      </w:r>
    </w:p>
  </w:footnote>
  <w:footnote w:type="continuationSeparator" w:id="0">
    <w:p w:rsidR="00C17818" w:rsidRDefault="00C17818" w:rsidP="00C1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09C"/>
    <w:multiLevelType w:val="hybridMultilevel"/>
    <w:tmpl w:val="93D8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1CC9"/>
    <w:multiLevelType w:val="hybridMultilevel"/>
    <w:tmpl w:val="3DB24862"/>
    <w:lvl w:ilvl="0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499D60DC"/>
    <w:multiLevelType w:val="hybridMultilevel"/>
    <w:tmpl w:val="4440A9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C26CA7"/>
    <w:multiLevelType w:val="hybridMultilevel"/>
    <w:tmpl w:val="9B800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655CA1"/>
    <w:multiLevelType w:val="hybridMultilevel"/>
    <w:tmpl w:val="E484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86956"/>
    <w:multiLevelType w:val="hybridMultilevel"/>
    <w:tmpl w:val="9BA8E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171A6"/>
    <w:multiLevelType w:val="hybridMultilevel"/>
    <w:tmpl w:val="71484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79"/>
    <w:rsid w:val="00004B45"/>
    <w:rsid w:val="00024E3B"/>
    <w:rsid w:val="000609F4"/>
    <w:rsid w:val="00081B79"/>
    <w:rsid w:val="000879C2"/>
    <w:rsid w:val="0014612F"/>
    <w:rsid w:val="00147E37"/>
    <w:rsid w:val="00172842"/>
    <w:rsid w:val="001918CF"/>
    <w:rsid w:val="001A6DB6"/>
    <w:rsid w:val="001B0E1A"/>
    <w:rsid w:val="001D20CA"/>
    <w:rsid w:val="002362A6"/>
    <w:rsid w:val="00247D2F"/>
    <w:rsid w:val="0027136A"/>
    <w:rsid w:val="002C2120"/>
    <w:rsid w:val="002F742E"/>
    <w:rsid w:val="00332000"/>
    <w:rsid w:val="003A782F"/>
    <w:rsid w:val="003C0BF5"/>
    <w:rsid w:val="00420922"/>
    <w:rsid w:val="00445BD7"/>
    <w:rsid w:val="00480685"/>
    <w:rsid w:val="004A5FD6"/>
    <w:rsid w:val="00521884"/>
    <w:rsid w:val="00524BD9"/>
    <w:rsid w:val="0058066C"/>
    <w:rsid w:val="005C1A58"/>
    <w:rsid w:val="00626615"/>
    <w:rsid w:val="006D78A8"/>
    <w:rsid w:val="00756A85"/>
    <w:rsid w:val="00790831"/>
    <w:rsid w:val="007B0615"/>
    <w:rsid w:val="007E794E"/>
    <w:rsid w:val="00832F5F"/>
    <w:rsid w:val="0089253C"/>
    <w:rsid w:val="008B45F0"/>
    <w:rsid w:val="008F2319"/>
    <w:rsid w:val="00984365"/>
    <w:rsid w:val="00986AA6"/>
    <w:rsid w:val="00996797"/>
    <w:rsid w:val="009D6B94"/>
    <w:rsid w:val="009E16A8"/>
    <w:rsid w:val="009F3CE6"/>
    <w:rsid w:val="00A14D6A"/>
    <w:rsid w:val="00A761DE"/>
    <w:rsid w:val="00A94FBA"/>
    <w:rsid w:val="00A97C11"/>
    <w:rsid w:val="00AA0CFD"/>
    <w:rsid w:val="00AE7171"/>
    <w:rsid w:val="00BD0530"/>
    <w:rsid w:val="00C106F3"/>
    <w:rsid w:val="00C17818"/>
    <w:rsid w:val="00C6579F"/>
    <w:rsid w:val="00C77F3F"/>
    <w:rsid w:val="00CC28AD"/>
    <w:rsid w:val="00D15731"/>
    <w:rsid w:val="00D33667"/>
    <w:rsid w:val="00DD1807"/>
    <w:rsid w:val="00DE156A"/>
    <w:rsid w:val="00DF14B0"/>
    <w:rsid w:val="00E3388F"/>
    <w:rsid w:val="00E53C86"/>
    <w:rsid w:val="00E93D25"/>
    <w:rsid w:val="00EA0411"/>
    <w:rsid w:val="00EB25AA"/>
    <w:rsid w:val="00EE31C3"/>
    <w:rsid w:val="00F06BF3"/>
    <w:rsid w:val="00F20381"/>
    <w:rsid w:val="00F61214"/>
    <w:rsid w:val="00F8472C"/>
    <w:rsid w:val="00FB6C75"/>
    <w:rsid w:val="00F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D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4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18"/>
  </w:style>
  <w:style w:type="paragraph" w:styleId="Footer">
    <w:name w:val="footer"/>
    <w:basedOn w:val="Normal"/>
    <w:link w:val="FooterChar"/>
    <w:uiPriority w:val="99"/>
    <w:unhideWhenUsed/>
    <w:rsid w:val="00C1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18"/>
  </w:style>
  <w:style w:type="character" w:styleId="FollowedHyperlink">
    <w:name w:val="FollowedHyperlink"/>
    <w:basedOn w:val="DefaultParagraphFont"/>
    <w:uiPriority w:val="99"/>
    <w:semiHidden/>
    <w:unhideWhenUsed/>
    <w:rsid w:val="00E53C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D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4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18"/>
  </w:style>
  <w:style w:type="paragraph" w:styleId="Footer">
    <w:name w:val="footer"/>
    <w:basedOn w:val="Normal"/>
    <w:link w:val="FooterChar"/>
    <w:uiPriority w:val="99"/>
    <w:unhideWhenUsed/>
    <w:rsid w:val="00C1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18"/>
  </w:style>
  <w:style w:type="character" w:styleId="FollowedHyperlink">
    <w:name w:val="FollowedHyperlink"/>
    <w:basedOn w:val="DefaultParagraphFont"/>
    <w:uiPriority w:val="99"/>
    <w:semiHidden/>
    <w:unhideWhenUsed/>
    <w:rsid w:val="00E53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law.hofstra.edu/legalhistor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oni.aiello@hofstr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web.hofstra.edu/search%7ES3?/cKF4546.A1+D69+2010/ckf+4546+a1+d69+2010/-3,-1,,E/brow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web.hofstra.edu/search/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.hofstra.edu/academics/library/research/online/index.cfm?conf=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Toni L. Aiello</cp:lastModifiedBy>
  <cp:revision>48</cp:revision>
  <cp:lastPrinted>2014-03-05T12:36:00Z</cp:lastPrinted>
  <dcterms:created xsi:type="dcterms:W3CDTF">2014-03-04T19:51:00Z</dcterms:created>
  <dcterms:modified xsi:type="dcterms:W3CDTF">2014-03-05T12:37:00Z</dcterms:modified>
</cp:coreProperties>
</file>