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71" w:rsidRPr="00771271" w:rsidRDefault="00771271" w:rsidP="007712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271">
        <w:rPr>
          <w:rFonts w:ascii="Times New Roman" w:hAnsi="Times New Roman" w:cs="Times New Roman"/>
          <w:b/>
          <w:sz w:val="32"/>
          <w:szCs w:val="32"/>
        </w:rPr>
        <w:t>QUICK GUIDE TO LEGAL ETHICS RESEARCH</w:t>
      </w:r>
    </w:p>
    <w:p w:rsidR="00FD18D1" w:rsidRPr="00771271" w:rsidRDefault="0050371A" w:rsidP="00E00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633">
        <w:rPr>
          <w:rFonts w:ascii="Times New Roman" w:hAnsi="Times New Roman" w:cs="Times New Roman"/>
          <w:b/>
          <w:sz w:val="24"/>
          <w:szCs w:val="24"/>
        </w:rPr>
        <w:t>Getting Started</w:t>
      </w:r>
      <w:r w:rsidR="00E00633" w:rsidRPr="00E00633">
        <w:rPr>
          <w:rFonts w:ascii="Times New Roman" w:hAnsi="Times New Roman" w:cs="Times New Roman"/>
          <w:sz w:val="24"/>
          <w:szCs w:val="24"/>
        </w:rPr>
        <w:t xml:space="preserve"> – see Research Guide at</w:t>
      </w:r>
      <w:r w:rsidR="00E0063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00633" w:rsidRPr="00E00633">
          <w:rPr>
            <w:rStyle w:val="Hyperlink"/>
            <w:rFonts w:ascii="Times New Roman" w:hAnsi="Times New Roman" w:cs="Times New Roman"/>
          </w:rPr>
          <w:t>http://libguides.law.hofstra.edu/legalethics_professional</w:t>
        </w:r>
      </w:hyperlink>
      <w:r w:rsidR="00E00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1E9" w:rsidRPr="00E00633" w:rsidRDefault="004231E9" w:rsidP="004231E9">
      <w:pPr>
        <w:pStyle w:val="NormalWeb"/>
        <w:numPr>
          <w:ilvl w:val="0"/>
          <w:numId w:val="2"/>
        </w:numPr>
        <w:rPr>
          <w:b/>
        </w:rPr>
      </w:pPr>
      <w:r w:rsidRPr="00E00633">
        <w:rPr>
          <w:b/>
        </w:rPr>
        <w:t xml:space="preserve">Treatises </w:t>
      </w:r>
    </w:p>
    <w:p w:rsidR="00D95460" w:rsidRPr="00D95460" w:rsidRDefault="004231E9" w:rsidP="00D95460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4231E9">
        <w:rPr>
          <w:b/>
          <w:bCs/>
        </w:rPr>
        <w:t xml:space="preserve">The Law of Lawyering/ by Geoffrey C. Hazard, Jr. and W. William </w:t>
      </w:r>
      <w:proofErr w:type="spellStart"/>
      <w:r w:rsidRPr="004231E9">
        <w:rPr>
          <w:b/>
          <w:bCs/>
        </w:rPr>
        <w:t>Hodes</w:t>
      </w:r>
      <w:proofErr w:type="spellEnd"/>
      <w:r w:rsidRPr="004231E9">
        <w:rPr>
          <w:b/>
          <w:bCs/>
        </w:rPr>
        <w:t xml:space="preserve">:  </w:t>
      </w:r>
      <w:r w:rsidR="00D95460">
        <w:rPr>
          <w:b/>
          <w:bCs/>
        </w:rPr>
        <w:t xml:space="preserve">  </w:t>
      </w:r>
    </w:p>
    <w:p w:rsidR="004231E9" w:rsidRPr="00D95460" w:rsidRDefault="00D95460" w:rsidP="00D95460">
      <w:pPr>
        <w:pStyle w:val="NormalWeb"/>
        <w:spacing w:before="0" w:beforeAutospacing="0" w:after="0" w:afterAutospacing="0"/>
        <w:ind w:left="360"/>
      </w:pPr>
      <w:r>
        <w:rPr>
          <w:bCs/>
        </w:rPr>
        <w:tab/>
        <w:t xml:space="preserve">Call Number:  </w:t>
      </w:r>
      <w:r w:rsidR="004231E9" w:rsidRPr="00D95460">
        <w:rPr>
          <w:bCs/>
        </w:rPr>
        <w:t xml:space="preserve">KF306 .H33 Law Reserve </w:t>
      </w:r>
    </w:p>
    <w:p w:rsidR="004231E9" w:rsidRPr="004231E9" w:rsidRDefault="004231E9" w:rsidP="004231E9">
      <w:pPr>
        <w:pStyle w:val="NormalWeb"/>
        <w:numPr>
          <w:ilvl w:val="0"/>
          <w:numId w:val="3"/>
        </w:numPr>
        <w:spacing w:line="360" w:lineRule="auto"/>
      </w:pPr>
      <w:r w:rsidRPr="004231E9">
        <w:rPr>
          <w:b/>
          <w:bCs/>
        </w:rPr>
        <w:t>Modern Legal Ethics/ by Charles Wolfram</w:t>
      </w:r>
      <w:r w:rsidRPr="00D95460">
        <w:rPr>
          <w:bCs/>
        </w:rPr>
        <w:t>: </w:t>
      </w:r>
      <w:r w:rsidR="00D95460">
        <w:rPr>
          <w:bCs/>
        </w:rPr>
        <w:t>Call Number:</w:t>
      </w:r>
      <w:r w:rsidRPr="00D95460">
        <w:rPr>
          <w:bCs/>
        </w:rPr>
        <w:t xml:space="preserve"> KF306 .W59 Law Reserve</w:t>
      </w:r>
      <w:r w:rsidRPr="004231E9">
        <w:rPr>
          <w:b/>
          <w:bCs/>
        </w:rPr>
        <w:t xml:space="preserve">  </w:t>
      </w:r>
    </w:p>
    <w:p w:rsidR="00D95460" w:rsidRPr="00D95460" w:rsidRDefault="004231E9" w:rsidP="00D95460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4231E9">
        <w:rPr>
          <w:b/>
          <w:bCs/>
        </w:rPr>
        <w:t>Understanding Lawyer’s Ethics/ by Monroe Freedman and Abbe Smith: </w:t>
      </w:r>
    </w:p>
    <w:p w:rsidR="004231E9" w:rsidRDefault="00D95460" w:rsidP="00D95460">
      <w:pPr>
        <w:pStyle w:val="NormalWeb"/>
        <w:spacing w:before="0" w:beforeAutospacing="0" w:after="0" w:afterAutospacing="0"/>
        <w:ind w:left="720"/>
        <w:rPr>
          <w:bCs/>
        </w:rPr>
      </w:pPr>
      <w:r>
        <w:rPr>
          <w:bCs/>
        </w:rPr>
        <w:t xml:space="preserve">Call Number: </w:t>
      </w:r>
      <w:r w:rsidR="004231E9" w:rsidRPr="00D95460">
        <w:rPr>
          <w:bCs/>
        </w:rPr>
        <w:t xml:space="preserve">KF306 .F76 Law Reserve </w:t>
      </w:r>
    </w:p>
    <w:p w:rsidR="009739FD" w:rsidRDefault="009739FD" w:rsidP="00D95460">
      <w:pPr>
        <w:pStyle w:val="NormalWeb"/>
        <w:spacing w:before="0" w:beforeAutospacing="0" w:after="0" w:afterAutospacing="0"/>
        <w:ind w:left="720"/>
        <w:rPr>
          <w:bCs/>
        </w:rPr>
      </w:pPr>
    </w:p>
    <w:p w:rsidR="009739FD" w:rsidRDefault="009739FD" w:rsidP="009739FD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rStyle w:val="Strong"/>
        </w:rPr>
        <w:t xml:space="preserve">A </w:t>
      </w:r>
      <w:r>
        <w:rPr>
          <w:rStyle w:val="Strong"/>
        </w:rPr>
        <w:t xml:space="preserve">Concise Restatement of the Law Governing Lawyers </w:t>
      </w:r>
      <w:r>
        <w:rPr>
          <w:rStyle w:val="Strong"/>
        </w:rPr>
        <w:t>/ compiled by Vincent R. Johnson and Susan Saab Fortney</w:t>
      </w:r>
      <w:r>
        <w:rPr>
          <w:rStyle w:val="Strong"/>
        </w:rPr>
        <w:t xml:space="preserve">  </w:t>
      </w:r>
      <w:r w:rsidRPr="009739FD">
        <w:rPr>
          <w:rStyle w:val="Strong"/>
          <w:b w:val="0"/>
        </w:rPr>
        <w:t>Call Number:</w:t>
      </w:r>
      <w:r>
        <w:rPr>
          <w:rStyle w:val="Strong"/>
        </w:rPr>
        <w:t xml:space="preserve"> </w:t>
      </w:r>
      <w:r w:rsidRPr="009739FD">
        <w:t>KF300 .C66 2007</w:t>
      </w:r>
      <w:r>
        <w:t xml:space="preserve">  </w:t>
      </w:r>
      <w:r>
        <w:t>Law Reserve</w:t>
      </w:r>
    </w:p>
    <w:p w:rsidR="009739FD" w:rsidRPr="00D95460" w:rsidRDefault="009739FD" w:rsidP="009739FD">
      <w:pPr>
        <w:pStyle w:val="NormalWeb"/>
        <w:spacing w:before="0" w:beforeAutospacing="0" w:after="0" w:afterAutospacing="0"/>
        <w:ind w:left="720"/>
      </w:pPr>
    </w:p>
    <w:p w:rsidR="004231E9" w:rsidRPr="004231E9" w:rsidRDefault="004231E9" w:rsidP="00122841">
      <w:pPr>
        <w:pStyle w:val="NormalWeb"/>
        <w:numPr>
          <w:ilvl w:val="0"/>
          <w:numId w:val="2"/>
        </w:numPr>
      </w:pPr>
      <w:r w:rsidRPr="00E00633">
        <w:rPr>
          <w:b/>
          <w:bCs/>
        </w:rPr>
        <w:t>Law Review articles</w:t>
      </w:r>
      <w:r>
        <w:rPr>
          <w:bCs/>
        </w:rPr>
        <w:t xml:space="preserve"> – if keyword searching on Lexis or Westlaw is not working, try</w:t>
      </w:r>
    </w:p>
    <w:p w:rsidR="002E53A9" w:rsidRDefault="004231E9" w:rsidP="00122841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 xml:space="preserve">Index to Legal Periodicals (ILP) or Legal </w:t>
      </w:r>
      <w:proofErr w:type="spellStart"/>
      <w:r>
        <w:t>Trac</w:t>
      </w:r>
      <w:proofErr w:type="spellEnd"/>
      <w:r w:rsidR="002E53A9">
        <w:t xml:space="preserve"> – </w:t>
      </w:r>
    </w:p>
    <w:p w:rsidR="004231E9" w:rsidRDefault="002E53A9" w:rsidP="00122841">
      <w:pPr>
        <w:pStyle w:val="NormalWeb"/>
        <w:spacing w:before="0" w:beforeAutospacing="0" w:after="0" w:afterAutospacing="0"/>
        <w:ind w:left="1080"/>
      </w:pPr>
      <w:r>
        <w:tab/>
        <w:t>Library Online Resources &gt; Article Finding</w:t>
      </w:r>
    </w:p>
    <w:p w:rsidR="004231E9" w:rsidRDefault="005A49B8" w:rsidP="004231E9">
      <w:pPr>
        <w:pStyle w:val="NormalWeb"/>
        <w:numPr>
          <w:ilvl w:val="0"/>
          <w:numId w:val="5"/>
        </w:numPr>
        <w:spacing w:line="360" w:lineRule="auto"/>
      </w:pPr>
      <w:r>
        <w:t>Look for useful subjects</w:t>
      </w:r>
    </w:p>
    <w:p w:rsidR="004231E9" w:rsidRDefault="004231E9" w:rsidP="00122841">
      <w:pPr>
        <w:pStyle w:val="NormalWeb"/>
        <w:numPr>
          <w:ilvl w:val="1"/>
          <w:numId w:val="5"/>
        </w:numPr>
      </w:pPr>
      <w:r>
        <w:t xml:space="preserve">Possible ILP subjects </w:t>
      </w:r>
      <w:r w:rsidR="00532612">
        <w:t>–</w:t>
      </w:r>
      <w:r>
        <w:t xml:space="preserve"> </w:t>
      </w:r>
      <w:r w:rsidRPr="0050371A">
        <w:rPr>
          <w:rStyle w:val="Strong"/>
          <w:b w:val="0"/>
        </w:rPr>
        <w:t>Lawyers</w:t>
      </w:r>
      <w:r w:rsidR="00532612" w:rsidRPr="00532612">
        <w:rPr>
          <w:b/>
        </w:rPr>
        <w:t>;</w:t>
      </w:r>
      <w:r w:rsidRPr="00532612">
        <w:t xml:space="preserve"> </w:t>
      </w:r>
      <w:r w:rsidR="002E53A9">
        <w:t>E</w:t>
      </w:r>
      <w:r w:rsidRPr="0050371A">
        <w:rPr>
          <w:rStyle w:val="Strong"/>
          <w:b w:val="0"/>
        </w:rPr>
        <w:t>thics</w:t>
      </w:r>
      <w:r w:rsidRPr="0050371A">
        <w:t xml:space="preserve">; </w:t>
      </w:r>
      <w:r w:rsidR="002E53A9" w:rsidRPr="0050371A">
        <w:t xml:space="preserve">Rules; </w:t>
      </w:r>
      <w:r w:rsidRPr="0050371A">
        <w:t xml:space="preserve">Confidential communications – </w:t>
      </w:r>
      <w:r w:rsidRPr="0050371A">
        <w:rPr>
          <w:rStyle w:val="Strong"/>
          <w:b w:val="0"/>
        </w:rPr>
        <w:t>Lawyers</w:t>
      </w:r>
    </w:p>
    <w:p w:rsidR="00122841" w:rsidRDefault="004231E9" w:rsidP="00122841">
      <w:pPr>
        <w:pStyle w:val="NormalWeb"/>
        <w:numPr>
          <w:ilvl w:val="1"/>
          <w:numId w:val="5"/>
        </w:numPr>
        <w:spacing w:before="0" w:beforeAutospacing="0" w:after="0" w:afterAutospacing="0"/>
      </w:pPr>
      <w:r>
        <w:t xml:space="preserve">Possible Legal </w:t>
      </w:r>
      <w:proofErr w:type="spellStart"/>
      <w:r>
        <w:t>Trac</w:t>
      </w:r>
      <w:proofErr w:type="spellEnd"/>
      <w:r>
        <w:t xml:space="preserve"> subjects </w:t>
      </w:r>
      <w:r w:rsidR="006A702C">
        <w:t>–</w:t>
      </w:r>
      <w:r>
        <w:t xml:space="preserve"> </w:t>
      </w:r>
      <w:r w:rsidR="006A702C">
        <w:t xml:space="preserve">Legal ethics </w:t>
      </w:r>
      <w:r w:rsidR="005A49B8">
        <w:t>(with subdivisions)</w:t>
      </w:r>
    </w:p>
    <w:p w:rsidR="00122841" w:rsidRDefault="00122841" w:rsidP="00122841">
      <w:pPr>
        <w:pStyle w:val="NormalWeb"/>
        <w:spacing w:before="0" w:beforeAutospacing="0" w:after="0" w:afterAutospacing="0"/>
        <w:ind w:left="1800"/>
      </w:pPr>
    </w:p>
    <w:p w:rsidR="00C83290" w:rsidRDefault="00C83290" w:rsidP="00122841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Look for Topic area on Lexis and Westlaw</w:t>
      </w:r>
    </w:p>
    <w:p w:rsidR="002F3AF4" w:rsidRDefault="00AE3A66" w:rsidP="002F3AF4">
      <w:pPr>
        <w:pStyle w:val="NormalWeb"/>
        <w:numPr>
          <w:ilvl w:val="1"/>
          <w:numId w:val="5"/>
        </w:numPr>
        <w:spacing w:line="360" w:lineRule="auto"/>
        <w:rPr>
          <w:rStyle w:val="featurenavigation"/>
        </w:rPr>
      </w:pPr>
      <w:r>
        <w:t xml:space="preserve">Westlaw – </w:t>
      </w:r>
      <w:r w:rsidRPr="0050371A">
        <w:t>Database</w:t>
      </w:r>
      <w:r>
        <w:rPr>
          <w:rStyle w:val="featurenavigation"/>
        </w:rPr>
        <w:t xml:space="preserve"> Directory</w:t>
      </w:r>
      <w:r>
        <w:t xml:space="preserve"> </w:t>
      </w:r>
      <w:r>
        <w:rPr>
          <w:rStyle w:val="featurenavigation"/>
        </w:rPr>
        <w:t xml:space="preserve">&gt; </w:t>
      </w:r>
      <w:r w:rsidRPr="0050371A">
        <w:t>Topical Materials by Area of Practice</w:t>
      </w:r>
      <w:r>
        <w:t xml:space="preserve"> </w:t>
      </w:r>
      <w:r>
        <w:rPr>
          <w:rStyle w:val="featurenavigation"/>
        </w:rPr>
        <w:t>&gt; Legal Ethics &amp; Professional Responsibility</w:t>
      </w:r>
    </w:p>
    <w:p w:rsidR="00AE3A66" w:rsidRDefault="00AE3A66" w:rsidP="002F3AF4">
      <w:pPr>
        <w:pStyle w:val="NormalWeb"/>
        <w:numPr>
          <w:ilvl w:val="1"/>
          <w:numId w:val="5"/>
        </w:numPr>
        <w:spacing w:line="360" w:lineRule="auto"/>
      </w:pPr>
      <w:r>
        <w:rPr>
          <w:rStyle w:val="featurenavigation"/>
        </w:rPr>
        <w:t xml:space="preserve"> </w:t>
      </w:r>
      <w:r w:rsidR="002F3AF4" w:rsidRPr="002F3AF4">
        <w:t>Legal </w:t>
      </w:r>
      <w:r w:rsidR="002F3AF4" w:rsidRPr="002F3AF4">
        <w:rPr>
          <w:b/>
          <w:bCs/>
        </w:rPr>
        <w:t>&gt;</w:t>
      </w:r>
      <w:r w:rsidR="002F3AF4" w:rsidRPr="002F3AF4">
        <w:t xml:space="preserve"> Area of Law - By Topic </w:t>
      </w:r>
      <w:r w:rsidR="002F3AF4" w:rsidRPr="002F3AF4">
        <w:rPr>
          <w:b/>
          <w:bCs/>
        </w:rPr>
        <w:t>&gt;</w:t>
      </w:r>
      <w:r w:rsidR="002F3AF4" w:rsidRPr="002F3AF4">
        <w:t xml:space="preserve"> </w:t>
      </w:r>
      <w:r w:rsidR="002F3AF4" w:rsidRPr="002F3AF4">
        <w:rPr>
          <w:bCs/>
        </w:rPr>
        <w:t>Ethics</w:t>
      </w:r>
      <w:r w:rsidR="002F3AF4" w:rsidRPr="002F3AF4">
        <w:t xml:space="preserve"> </w:t>
      </w:r>
    </w:p>
    <w:p w:rsidR="008B64F5" w:rsidRDefault="00C83290" w:rsidP="008B64F5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 </w:t>
      </w:r>
      <w:r w:rsidRPr="00E00633">
        <w:rPr>
          <w:b/>
        </w:rPr>
        <w:t>Ethics resources</w:t>
      </w:r>
      <w:r w:rsidR="0050371A">
        <w:t xml:space="preserve"> </w:t>
      </w:r>
      <w:r w:rsidR="008B64F5">
        <w:t>– on Law Library’s web site see</w:t>
      </w:r>
    </w:p>
    <w:p w:rsidR="008B64F5" w:rsidRDefault="0050371A" w:rsidP="008B64F5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 xml:space="preserve">Law Library’s </w:t>
      </w:r>
      <w:r w:rsidR="008B64F5">
        <w:t xml:space="preserve">Research Guides &gt; Legal Ethics </w:t>
      </w:r>
    </w:p>
    <w:p w:rsidR="00C83290" w:rsidRDefault="0050371A" w:rsidP="008B64F5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Online Resources &gt; Ethics</w:t>
      </w:r>
    </w:p>
    <w:p w:rsidR="00C83290" w:rsidRPr="00E00633" w:rsidRDefault="00C83290" w:rsidP="00C83290">
      <w:pPr>
        <w:pStyle w:val="NormalWeb"/>
        <w:numPr>
          <w:ilvl w:val="0"/>
          <w:numId w:val="6"/>
        </w:numPr>
        <w:spacing w:line="360" w:lineRule="auto"/>
        <w:rPr>
          <w:b/>
        </w:rPr>
      </w:pPr>
      <w:r w:rsidRPr="00E00633">
        <w:rPr>
          <w:b/>
        </w:rPr>
        <w:t>BNA Manual on Professional Conduct (MOPC)</w:t>
      </w:r>
    </w:p>
    <w:p w:rsidR="00C83290" w:rsidRDefault="00C83290" w:rsidP="006047B6">
      <w:pPr>
        <w:pStyle w:val="NormalWeb"/>
        <w:numPr>
          <w:ilvl w:val="0"/>
          <w:numId w:val="6"/>
        </w:numPr>
        <w:spacing w:after="0" w:afterAutospacing="0"/>
        <w:rPr>
          <w:b/>
        </w:rPr>
      </w:pPr>
      <w:r w:rsidRPr="00E00633">
        <w:rPr>
          <w:b/>
        </w:rPr>
        <w:t>ABA Model Rules</w:t>
      </w:r>
      <w:r w:rsidR="001F3ACF">
        <w:rPr>
          <w:b/>
        </w:rPr>
        <w:t xml:space="preserve"> – see ABA web site at </w:t>
      </w:r>
      <w:hyperlink r:id="rId9" w:history="1">
        <w:r w:rsidR="001F3ACF" w:rsidRPr="001F3ACF">
          <w:rPr>
            <w:rStyle w:val="Hyperlink"/>
            <w:sz w:val="22"/>
            <w:szCs w:val="22"/>
          </w:rPr>
          <w:t>http://www.americanbar.org/groups/professional_responsibility/publications/model_rules_of_professional_conduct.html</w:t>
        </w:r>
      </w:hyperlink>
      <w:r w:rsidR="001F3ACF">
        <w:rPr>
          <w:b/>
        </w:rPr>
        <w:t xml:space="preserve"> </w:t>
      </w:r>
    </w:p>
    <w:p w:rsidR="006047B6" w:rsidRDefault="006047B6" w:rsidP="006047B6">
      <w:pPr>
        <w:pStyle w:val="NormalWeb"/>
        <w:spacing w:after="0" w:afterAutospacing="0"/>
        <w:ind w:left="1440"/>
        <w:rPr>
          <w:b/>
        </w:rPr>
      </w:pPr>
    </w:p>
    <w:p w:rsidR="009739FD" w:rsidRPr="00E00633" w:rsidRDefault="009739FD" w:rsidP="006047B6">
      <w:pPr>
        <w:pStyle w:val="NormalWeb"/>
        <w:spacing w:after="0" w:afterAutospacing="0"/>
        <w:ind w:left="1440"/>
        <w:rPr>
          <w:b/>
        </w:rPr>
      </w:pPr>
    </w:p>
    <w:p w:rsidR="008B64F5" w:rsidRPr="008B64F5" w:rsidRDefault="008B64F5" w:rsidP="006047B6">
      <w:pPr>
        <w:pStyle w:val="NormalWeb"/>
        <w:numPr>
          <w:ilvl w:val="1"/>
          <w:numId w:val="6"/>
        </w:numPr>
        <w:spacing w:before="0" w:beforeAutospacing="0" w:after="0" w:afterAutospacing="0"/>
      </w:pPr>
      <w:r w:rsidRPr="008B64F5">
        <w:rPr>
          <w:b/>
          <w:bCs/>
        </w:rPr>
        <w:t>Annotated Model Rules of Professional Conduct</w:t>
      </w:r>
      <w:r w:rsidRPr="008B64F5">
        <w:rPr>
          <w:bCs/>
        </w:rPr>
        <w:t xml:space="preserve">:  </w:t>
      </w:r>
    </w:p>
    <w:p w:rsidR="001F3ACF" w:rsidRDefault="008B64F5" w:rsidP="00D95460">
      <w:pPr>
        <w:pStyle w:val="NormalWeb"/>
        <w:spacing w:before="0" w:beforeAutospacing="0" w:after="0" w:afterAutospacing="0"/>
        <w:ind w:left="2160"/>
      </w:pPr>
      <w:r w:rsidRPr="008B64F5">
        <w:rPr>
          <w:bCs/>
        </w:rPr>
        <w:t>Call Number:</w:t>
      </w:r>
      <w:r>
        <w:rPr>
          <w:bCs/>
        </w:rPr>
        <w:t xml:space="preserve"> </w:t>
      </w:r>
      <w:r w:rsidRPr="008B64F5">
        <w:rPr>
          <w:bCs/>
        </w:rPr>
        <w:t xml:space="preserve">KF305.A6 Law Reserve </w:t>
      </w:r>
      <w:r w:rsidRPr="008B64F5">
        <w:t xml:space="preserve">  </w:t>
      </w:r>
    </w:p>
    <w:p w:rsidR="001F3ACF" w:rsidRDefault="001F3ACF" w:rsidP="00D95460">
      <w:pPr>
        <w:pStyle w:val="NormalWeb"/>
        <w:spacing w:before="0" w:beforeAutospacing="0" w:after="0" w:afterAutospacing="0"/>
        <w:ind w:left="2160"/>
      </w:pPr>
    </w:p>
    <w:p w:rsidR="0050371A" w:rsidRDefault="0050371A" w:rsidP="0050371A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t>Legislative History</w:t>
      </w:r>
    </w:p>
    <w:p w:rsidR="0050371A" w:rsidRDefault="0050371A" w:rsidP="0050371A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50371A">
        <w:rPr>
          <w:b/>
          <w:bCs/>
        </w:rPr>
        <w:t>A Legislative History: The Development of the ABA Model Rules of Professional Conduct, 1982-2005</w:t>
      </w:r>
      <w:r>
        <w:rPr>
          <w:b/>
          <w:bCs/>
        </w:rPr>
        <w:t xml:space="preserve"> </w:t>
      </w:r>
    </w:p>
    <w:p w:rsidR="0050371A" w:rsidRDefault="0050371A" w:rsidP="002E36C0">
      <w:pPr>
        <w:pStyle w:val="NormalWeb"/>
        <w:spacing w:before="0" w:beforeAutospacing="0" w:after="0" w:afterAutospacing="0"/>
        <w:ind w:left="2520"/>
      </w:pPr>
      <w:r w:rsidRPr="0050371A">
        <w:t>Call Number</w:t>
      </w:r>
      <w:r w:rsidR="00896CF6">
        <w:t>: KF306 .L45 2006 Law Reserve</w:t>
      </w:r>
      <w:bookmarkStart w:id="0" w:name="_GoBack"/>
      <w:bookmarkEnd w:id="0"/>
    </w:p>
    <w:p w:rsidR="006047B6" w:rsidRDefault="006047B6" w:rsidP="002E36C0">
      <w:pPr>
        <w:pStyle w:val="NormalWeb"/>
        <w:spacing w:before="0" w:beforeAutospacing="0" w:after="0" w:afterAutospacing="0"/>
        <w:ind w:left="2520"/>
      </w:pPr>
    </w:p>
    <w:p w:rsidR="002E36C0" w:rsidRDefault="002E36C0" w:rsidP="002E36C0">
      <w:pPr>
        <w:pStyle w:val="NormalWeb"/>
        <w:spacing w:before="0" w:beforeAutospacing="0" w:after="0" w:afterAutospacing="0"/>
        <w:ind w:left="2520"/>
      </w:pPr>
    </w:p>
    <w:p w:rsidR="00C83290" w:rsidRDefault="00C83290" w:rsidP="000C5CA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</w:pPr>
      <w:r w:rsidRPr="00E00633">
        <w:rPr>
          <w:b/>
        </w:rPr>
        <w:t>State codes</w:t>
      </w:r>
      <w:r w:rsidR="00E00633" w:rsidRPr="00E00633">
        <w:rPr>
          <w:b/>
        </w:rPr>
        <w:t>/rules</w:t>
      </w:r>
      <w:r w:rsidRPr="00E00633">
        <w:rPr>
          <w:b/>
        </w:rPr>
        <w:t xml:space="preserve"> of ethics for attorneys</w:t>
      </w:r>
      <w:r w:rsidR="004139DF">
        <w:t xml:space="preserve"> – look in state’s annotated code (in print or online).  You will find references to some decisions and possibly ethics opinions interpreting the</w:t>
      </w:r>
      <w:r w:rsidR="000C5CA8">
        <w:t xml:space="preserve"> ethics rules.  You may find your state’s</w:t>
      </w:r>
      <w:r w:rsidR="004139DF">
        <w:t xml:space="preserve"> ethics code in the rules volumes or the main volumes, depending upon the state</w:t>
      </w:r>
      <w:r w:rsidR="0024799B">
        <w:t>.  See research guide for other sources.</w:t>
      </w:r>
    </w:p>
    <w:p w:rsidR="00E00633" w:rsidRDefault="00E00633" w:rsidP="00E00633">
      <w:pPr>
        <w:pStyle w:val="NormalWeb"/>
        <w:spacing w:before="0" w:beforeAutospacing="0" w:after="0" w:afterAutospacing="0" w:line="360" w:lineRule="auto"/>
      </w:pPr>
      <w:r>
        <w:tab/>
      </w:r>
      <w:r>
        <w:tab/>
        <w:t xml:space="preserve">See ABA web site, links of interest - </w:t>
      </w:r>
      <w:hyperlink r:id="rId10" w:history="1">
        <w:r w:rsidRPr="00E00633">
          <w:rPr>
            <w:rStyle w:val="Hyperlink"/>
            <w:sz w:val="22"/>
            <w:szCs w:val="22"/>
          </w:rPr>
          <w:t>http://www.americanbar.org/groups/professional_responsibility/resources/links_of_interest.html</w:t>
        </w:r>
      </w:hyperlink>
      <w:r>
        <w:t xml:space="preserve"> </w:t>
      </w:r>
    </w:p>
    <w:p w:rsidR="000C5CA8" w:rsidRDefault="000C5CA8" w:rsidP="000C5CA8">
      <w:pPr>
        <w:pStyle w:val="NormalWeb"/>
        <w:spacing w:before="0" w:beforeAutospacing="0" w:after="0" w:afterAutospacing="0" w:line="360" w:lineRule="auto"/>
        <w:ind w:left="1440"/>
      </w:pPr>
    </w:p>
    <w:p w:rsidR="000C5CA8" w:rsidRDefault="00C83290" w:rsidP="000C5CA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</w:pPr>
      <w:r w:rsidRPr="00E00633">
        <w:rPr>
          <w:b/>
        </w:rPr>
        <w:t>Ethics Opinions</w:t>
      </w:r>
      <w:r>
        <w:t xml:space="preserve"> – ABA and state</w:t>
      </w:r>
      <w:r w:rsidR="000C5CA8">
        <w:t xml:space="preserve"> </w:t>
      </w:r>
    </w:p>
    <w:p w:rsidR="00C83290" w:rsidRDefault="000C5CA8" w:rsidP="000C5CA8">
      <w:pPr>
        <w:pStyle w:val="NormalWeb"/>
        <w:numPr>
          <w:ilvl w:val="1"/>
          <w:numId w:val="6"/>
        </w:numPr>
        <w:spacing w:before="0" w:beforeAutospacing="0" w:after="0" w:afterAutospacing="0" w:line="360" w:lineRule="auto"/>
      </w:pPr>
      <w:r>
        <w:t xml:space="preserve"> searchable on Lexis and Westlaw</w:t>
      </w:r>
    </w:p>
    <w:p w:rsidR="00222FBB" w:rsidRDefault="000C5CA8" w:rsidP="00222FBB">
      <w:pPr>
        <w:pStyle w:val="NormalWeb"/>
        <w:numPr>
          <w:ilvl w:val="1"/>
          <w:numId w:val="6"/>
        </w:numPr>
        <w:spacing w:before="0" w:beforeAutospacing="0" w:after="0" w:afterAutospacing="0" w:line="360" w:lineRule="auto"/>
      </w:pPr>
      <w:r>
        <w:t>Specific opinion may be on free web site</w:t>
      </w:r>
      <w:r w:rsidR="0024799B">
        <w:t xml:space="preserve"> – look at State Bar Association web site</w:t>
      </w:r>
    </w:p>
    <w:p w:rsidR="00222FBB" w:rsidRDefault="00222FBB" w:rsidP="00222FBB">
      <w:pPr>
        <w:pStyle w:val="NormalWeb"/>
        <w:spacing w:before="0" w:beforeAutospacing="0" w:after="0" w:afterAutospacing="0" w:line="360" w:lineRule="auto"/>
        <w:ind w:left="2160"/>
      </w:pPr>
    </w:p>
    <w:p w:rsidR="00222FBB" w:rsidRDefault="000C5CA8" w:rsidP="00222FB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 w:rsidRPr="00222FBB">
        <w:rPr>
          <w:b/>
        </w:rPr>
        <w:t xml:space="preserve">Cases </w:t>
      </w:r>
    </w:p>
    <w:p w:rsidR="00222FBB" w:rsidRDefault="00222FBB" w:rsidP="00222FBB">
      <w:pPr>
        <w:pStyle w:val="NormalWeb"/>
        <w:spacing w:before="0" w:beforeAutospacing="0" w:after="0" w:afterAutospacing="0" w:line="360" w:lineRule="auto"/>
        <w:ind w:left="1080"/>
      </w:pPr>
      <w:r>
        <w:tab/>
        <w:t>A. Look in annotated code</w:t>
      </w:r>
    </w:p>
    <w:p w:rsidR="000C5CA8" w:rsidRPr="004231E9" w:rsidRDefault="00222FBB" w:rsidP="00222FBB">
      <w:pPr>
        <w:pStyle w:val="NormalWeb"/>
        <w:spacing w:before="0" w:beforeAutospacing="0" w:after="0" w:afterAutospacing="0" w:line="360" w:lineRule="auto"/>
        <w:ind w:left="1080"/>
      </w:pPr>
      <w:r>
        <w:tab/>
        <w:t xml:space="preserve">B. </w:t>
      </w:r>
      <w:r w:rsidR="000C5CA8">
        <w:t xml:space="preserve">Try Topic– Attorney and Client – </w:t>
      </w:r>
      <w:r w:rsidR="00C65065">
        <w:t>and Key Number (</w:t>
      </w:r>
      <w:r w:rsidR="000C5CA8">
        <w:t>see table of contents for specific key numbers</w:t>
      </w:r>
      <w:r w:rsidR="00C65065">
        <w:t>)</w:t>
      </w:r>
    </w:p>
    <w:p w:rsidR="004231E9" w:rsidRPr="004231E9" w:rsidRDefault="004231E9" w:rsidP="004231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231E9" w:rsidRDefault="004231E9" w:rsidP="004231E9">
      <w:pPr>
        <w:pStyle w:val="ListParagraph"/>
        <w:ind w:left="1080"/>
      </w:pPr>
    </w:p>
    <w:p w:rsidR="00771271" w:rsidRDefault="00771271" w:rsidP="004231E9">
      <w:pPr>
        <w:pStyle w:val="ListParagraph"/>
        <w:ind w:left="1080"/>
      </w:pPr>
    </w:p>
    <w:p w:rsidR="00771271" w:rsidRDefault="00771271" w:rsidP="004231E9">
      <w:pPr>
        <w:pStyle w:val="ListParagraph"/>
        <w:ind w:left="1080"/>
      </w:pPr>
    </w:p>
    <w:p w:rsidR="00771271" w:rsidRDefault="00771271" w:rsidP="004231E9">
      <w:pPr>
        <w:pStyle w:val="ListParagraph"/>
        <w:ind w:left="1080"/>
      </w:pPr>
    </w:p>
    <w:p w:rsidR="00771271" w:rsidRPr="00895048" w:rsidRDefault="00771271" w:rsidP="00771271">
      <w:pPr>
        <w:pStyle w:val="ListParagraph"/>
        <w:ind w:left="108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895048">
        <w:rPr>
          <w:rFonts w:ascii="Times New Roman" w:hAnsi="Times New Roman" w:cs="Times New Roman"/>
          <w:sz w:val="18"/>
          <w:szCs w:val="18"/>
        </w:rPr>
        <w:t>by</w:t>
      </w:r>
      <w:proofErr w:type="gramEnd"/>
      <w:r w:rsidRPr="00895048">
        <w:rPr>
          <w:rFonts w:ascii="Times New Roman" w:hAnsi="Times New Roman" w:cs="Times New Roman"/>
          <w:sz w:val="18"/>
          <w:szCs w:val="18"/>
        </w:rPr>
        <w:t xml:space="preserve"> Lisa A Spar, Assistant Director for Reference and Instructional Services</w:t>
      </w:r>
    </w:p>
    <w:p w:rsidR="00771271" w:rsidRPr="00895048" w:rsidRDefault="00771271" w:rsidP="00771271">
      <w:pPr>
        <w:pStyle w:val="ListParagraph"/>
        <w:ind w:left="1080"/>
        <w:jc w:val="right"/>
        <w:rPr>
          <w:rFonts w:ascii="Times New Roman" w:hAnsi="Times New Roman" w:cs="Times New Roman"/>
          <w:sz w:val="18"/>
          <w:szCs w:val="18"/>
        </w:rPr>
      </w:pPr>
      <w:r w:rsidRPr="00895048">
        <w:rPr>
          <w:rFonts w:ascii="Times New Roman" w:hAnsi="Times New Roman" w:cs="Times New Roman"/>
          <w:sz w:val="18"/>
          <w:szCs w:val="18"/>
        </w:rPr>
        <w:t xml:space="preserve">Last updated:  </w:t>
      </w:r>
      <w:r w:rsidR="002E53A9">
        <w:rPr>
          <w:rFonts w:ascii="Times New Roman" w:hAnsi="Times New Roman" w:cs="Times New Roman"/>
          <w:sz w:val="18"/>
          <w:szCs w:val="18"/>
        </w:rPr>
        <w:t>3/5</w:t>
      </w:r>
      <w:r w:rsidRPr="00895048">
        <w:rPr>
          <w:rFonts w:ascii="Times New Roman" w:hAnsi="Times New Roman" w:cs="Times New Roman"/>
          <w:sz w:val="18"/>
          <w:szCs w:val="18"/>
        </w:rPr>
        <w:t>/2012</w:t>
      </w:r>
    </w:p>
    <w:sectPr w:rsidR="00771271" w:rsidRPr="0089504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71" w:rsidRDefault="00771271" w:rsidP="00771271">
      <w:pPr>
        <w:spacing w:after="0" w:line="240" w:lineRule="auto"/>
      </w:pPr>
      <w:r>
        <w:separator/>
      </w:r>
    </w:p>
  </w:endnote>
  <w:endnote w:type="continuationSeparator" w:id="0">
    <w:p w:rsidR="00771271" w:rsidRDefault="00771271" w:rsidP="0077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847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1271" w:rsidRDefault="007712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C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1271" w:rsidRDefault="00771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71" w:rsidRDefault="00771271" w:rsidP="00771271">
      <w:pPr>
        <w:spacing w:after="0" w:line="240" w:lineRule="auto"/>
      </w:pPr>
      <w:r>
        <w:separator/>
      </w:r>
    </w:p>
  </w:footnote>
  <w:footnote w:type="continuationSeparator" w:id="0">
    <w:p w:rsidR="00771271" w:rsidRDefault="00771271" w:rsidP="00771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5E38"/>
    <w:multiLevelType w:val="hybridMultilevel"/>
    <w:tmpl w:val="BBB235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34E7639"/>
    <w:multiLevelType w:val="hybridMultilevel"/>
    <w:tmpl w:val="E342DECA"/>
    <w:lvl w:ilvl="0" w:tplc="0E52C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9581B"/>
    <w:multiLevelType w:val="hybridMultilevel"/>
    <w:tmpl w:val="D746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47925"/>
    <w:multiLevelType w:val="hybridMultilevel"/>
    <w:tmpl w:val="A314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601DF"/>
    <w:multiLevelType w:val="hybridMultilevel"/>
    <w:tmpl w:val="A1E0984C"/>
    <w:lvl w:ilvl="0" w:tplc="061CCE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D2870"/>
    <w:multiLevelType w:val="hybridMultilevel"/>
    <w:tmpl w:val="A43CFC5C"/>
    <w:lvl w:ilvl="0" w:tplc="FF38AA1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F0327A"/>
    <w:multiLevelType w:val="hybridMultilevel"/>
    <w:tmpl w:val="5F582C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8C14921"/>
    <w:multiLevelType w:val="hybridMultilevel"/>
    <w:tmpl w:val="0A74847C"/>
    <w:lvl w:ilvl="0" w:tplc="34865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29899DA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E9"/>
    <w:rsid w:val="000B4CEA"/>
    <w:rsid w:val="000C5CA8"/>
    <w:rsid w:val="00122841"/>
    <w:rsid w:val="001F3ACF"/>
    <w:rsid w:val="00222FBB"/>
    <w:rsid w:val="0024799B"/>
    <w:rsid w:val="002E36C0"/>
    <w:rsid w:val="002E53A9"/>
    <w:rsid w:val="002F3AF4"/>
    <w:rsid w:val="004139DF"/>
    <w:rsid w:val="004231E9"/>
    <w:rsid w:val="0050371A"/>
    <w:rsid w:val="00532612"/>
    <w:rsid w:val="005A49B8"/>
    <w:rsid w:val="005B252F"/>
    <w:rsid w:val="006047B6"/>
    <w:rsid w:val="006A702C"/>
    <w:rsid w:val="00771271"/>
    <w:rsid w:val="007E09CE"/>
    <w:rsid w:val="00895048"/>
    <w:rsid w:val="00896CF6"/>
    <w:rsid w:val="008B64F5"/>
    <w:rsid w:val="009739FD"/>
    <w:rsid w:val="00AE3A66"/>
    <w:rsid w:val="00C65065"/>
    <w:rsid w:val="00C83290"/>
    <w:rsid w:val="00CA7E4A"/>
    <w:rsid w:val="00D95460"/>
    <w:rsid w:val="00E00633"/>
    <w:rsid w:val="00F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1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31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31E9"/>
    <w:rPr>
      <w:b/>
      <w:bCs/>
    </w:rPr>
  </w:style>
  <w:style w:type="character" w:customStyle="1" w:styleId="featurenavigation">
    <w:name w:val="featurenavigation"/>
    <w:basedOn w:val="DefaultParagraphFont"/>
    <w:rsid w:val="00AE3A66"/>
  </w:style>
  <w:style w:type="paragraph" w:styleId="Header">
    <w:name w:val="header"/>
    <w:basedOn w:val="Normal"/>
    <w:link w:val="HeaderChar"/>
    <w:uiPriority w:val="99"/>
    <w:unhideWhenUsed/>
    <w:rsid w:val="00771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271"/>
  </w:style>
  <w:style w:type="paragraph" w:styleId="Footer">
    <w:name w:val="footer"/>
    <w:basedOn w:val="Normal"/>
    <w:link w:val="FooterChar"/>
    <w:uiPriority w:val="99"/>
    <w:unhideWhenUsed/>
    <w:rsid w:val="00771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1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31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31E9"/>
    <w:rPr>
      <w:b/>
      <w:bCs/>
    </w:rPr>
  </w:style>
  <w:style w:type="character" w:customStyle="1" w:styleId="featurenavigation">
    <w:name w:val="featurenavigation"/>
    <w:basedOn w:val="DefaultParagraphFont"/>
    <w:rsid w:val="00AE3A66"/>
  </w:style>
  <w:style w:type="paragraph" w:styleId="Header">
    <w:name w:val="header"/>
    <w:basedOn w:val="Normal"/>
    <w:link w:val="HeaderChar"/>
    <w:uiPriority w:val="99"/>
    <w:unhideWhenUsed/>
    <w:rsid w:val="00771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271"/>
  </w:style>
  <w:style w:type="paragraph" w:styleId="Footer">
    <w:name w:val="footer"/>
    <w:basedOn w:val="Normal"/>
    <w:link w:val="FooterChar"/>
    <w:uiPriority w:val="99"/>
    <w:unhideWhenUsed/>
    <w:rsid w:val="00771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uides.law.hofstra.edu/legalethics_professiona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mericanbar.org/groups/professional_responsibility/resources/links_of_intere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ericanbar.org/groups/professional_responsibility/publications/model_rules_of_professional_condu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27</cp:revision>
  <cp:lastPrinted>2012-03-05T17:57:00Z</cp:lastPrinted>
  <dcterms:created xsi:type="dcterms:W3CDTF">2012-02-29T16:38:00Z</dcterms:created>
  <dcterms:modified xsi:type="dcterms:W3CDTF">2012-03-05T18:04:00Z</dcterms:modified>
</cp:coreProperties>
</file>