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8" w:rsidRPr="00620469" w:rsidRDefault="00FF192A" w:rsidP="00FF192A">
      <w:pPr>
        <w:pStyle w:val="Title"/>
        <w:spacing w:after="0" w:line="240" w:lineRule="auto"/>
        <w:rPr>
          <w:sz w:val="32"/>
          <w:szCs w:val="32"/>
        </w:rPr>
      </w:pPr>
      <w:r w:rsidRPr="00620469">
        <w:rPr>
          <w:sz w:val="32"/>
          <w:szCs w:val="32"/>
        </w:rPr>
        <w:t>Cost effective research for New York</w:t>
      </w:r>
      <w:r w:rsidR="00065D99" w:rsidRPr="00620469">
        <w:rPr>
          <w:sz w:val="32"/>
          <w:szCs w:val="32"/>
        </w:rPr>
        <w:t>:</w:t>
      </w:r>
    </w:p>
    <w:p w:rsidR="00160A18" w:rsidRPr="00620469" w:rsidRDefault="00FF192A" w:rsidP="00FF192A">
      <w:pPr>
        <w:jc w:val="center"/>
        <w:rPr>
          <w:b/>
          <w:sz w:val="32"/>
          <w:szCs w:val="32"/>
          <w:u w:val="single"/>
        </w:rPr>
      </w:pPr>
      <w:r w:rsidRPr="00620469">
        <w:rPr>
          <w:b/>
          <w:sz w:val="32"/>
          <w:szCs w:val="32"/>
          <w:u w:val="single"/>
        </w:rPr>
        <w:t>Finding what you need without breaking the bank</w:t>
      </w:r>
    </w:p>
    <w:p w:rsidR="00F26B60" w:rsidRPr="00160A18" w:rsidRDefault="00F26B60" w:rsidP="00FF192A">
      <w:pPr>
        <w:jc w:val="center"/>
      </w:pPr>
    </w:p>
    <w:p w:rsidR="00065D99" w:rsidRPr="00BA64F0" w:rsidRDefault="0033304E" w:rsidP="00065D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64F0">
        <w:rPr>
          <w:b/>
          <w:sz w:val="24"/>
          <w:szCs w:val="24"/>
        </w:rPr>
        <w:t xml:space="preserve">Use </w:t>
      </w:r>
      <w:r w:rsidR="00065D99" w:rsidRPr="00BA64F0">
        <w:rPr>
          <w:b/>
          <w:sz w:val="24"/>
          <w:szCs w:val="24"/>
        </w:rPr>
        <w:t xml:space="preserve">Free resources </w:t>
      </w:r>
    </w:p>
    <w:p w:rsidR="00065D99" w:rsidRDefault="0033304E" w:rsidP="00605658">
      <w:pPr>
        <w:pStyle w:val="ListParagraph"/>
        <w:numPr>
          <w:ilvl w:val="1"/>
          <w:numId w:val="1"/>
        </w:numPr>
        <w:ind w:left="1080"/>
      </w:pPr>
      <w:r>
        <w:t>Portal sites for state and federal links - will get links for  statutes, courts and cases, regulations</w:t>
      </w:r>
    </w:p>
    <w:p w:rsidR="0033304E" w:rsidRDefault="0033304E" w:rsidP="00605658">
      <w:pPr>
        <w:pStyle w:val="ListParagraph"/>
        <w:numPr>
          <w:ilvl w:val="1"/>
          <w:numId w:val="2"/>
        </w:numPr>
        <w:ind w:left="1170" w:hanging="90"/>
      </w:pPr>
      <w:r>
        <w:t xml:space="preserve">Legal Information Institute - </w:t>
      </w:r>
      <w:hyperlink r:id="rId6" w:history="1">
        <w:r w:rsidRPr="00DD5BA0">
          <w:rPr>
            <w:rStyle w:val="Hyperlink"/>
          </w:rPr>
          <w:t>http://www.law.cornell.edu/</w:t>
        </w:r>
      </w:hyperlink>
      <w:r>
        <w:t xml:space="preserve"> </w:t>
      </w:r>
    </w:p>
    <w:p w:rsidR="0033304E" w:rsidRDefault="0033304E" w:rsidP="00605658">
      <w:pPr>
        <w:pStyle w:val="ListParagraph"/>
        <w:numPr>
          <w:ilvl w:val="1"/>
          <w:numId w:val="2"/>
        </w:numPr>
      </w:pPr>
      <w:r>
        <w:t xml:space="preserve">Findlaw - </w:t>
      </w:r>
      <w:hyperlink r:id="rId7" w:history="1">
        <w:r w:rsidRPr="00DD5BA0">
          <w:rPr>
            <w:rStyle w:val="Hyperlink"/>
          </w:rPr>
          <w:t>http://lp.findlaw.com/</w:t>
        </w:r>
      </w:hyperlink>
      <w:r>
        <w:t xml:space="preserve"> </w:t>
      </w:r>
    </w:p>
    <w:p w:rsidR="0033304E" w:rsidRDefault="0033304E" w:rsidP="00605658">
      <w:pPr>
        <w:pStyle w:val="ListParagraph"/>
        <w:ind w:left="1440" w:hanging="90"/>
      </w:pPr>
    </w:p>
    <w:p w:rsidR="0033304E" w:rsidRDefault="0033304E" w:rsidP="00605658">
      <w:pPr>
        <w:pStyle w:val="ListParagraph"/>
        <w:numPr>
          <w:ilvl w:val="1"/>
          <w:numId w:val="1"/>
        </w:numPr>
        <w:ind w:left="1080"/>
      </w:pPr>
      <w:r>
        <w:t>Sites for cases, legislation and regulations</w:t>
      </w:r>
    </w:p>
    <w:p w:rsidR="000C504C" w:rsidRDefault="000C504C" w:rsidP="00605658">
      <w:pPr>
        <w:pStyle w:val="ListParagraph"/>
        <w:numPr>
          <w:ilvl w:val="1"/>
          <w:numId w:val="2"/>
        </w:numPr>
      </w:pPr>
      <w:r>
        <w:t>Google scholar (cases)</w:t>
      </w:r>
      <w:r w:rsidR="0033304E">
        <w:t xml:space="preserve"> - </w:t>
      </w:r>
      <w:hyperlink r:id="rId8" w:history="1">
        <w:r w:rsidR="0033304E" w:rsidRPr="00DD5BA0">
          <w:rPr>
            <w:rStyle w:val="Hyperlink"/>
          </w:rPr>
          <w:t>http://scholar.google.com/</w:t>
        </w:r>
      </w:hyperlink>
      <w:r w:rsidR="0033304E">
        <w:t xml:space="preserve"> </w:t>
      </w:r>
    </w:p>
    <w:p w:rsidR="003F1D94" w:rsidRDefault="003F1D94" w:rsidP="00605658">
      <w:pPr>
        <w:pStyle w:val="ListParagraph"/>
        <w:numPr>
          <w:ilvl w:val="1"/>
          <w:numId w:val="2"/>
        </w:numPr>
      </w:pPr>
      <w:r>
        <w:t xml:space="preserve">New York State Legislature (statutes) - </w:t>
      </w:r>
      <w:hyperlink r:id="rId9" w:history="1">
        <w:r w:rsidRPr="00C15942">
          <w:rPr>
            <w:rStyle w:val="Hyperlink"/>
          </w:rPr>
          <w:t>http://public.leginfo.state.ny.us/menuf.cgi</w:t>
        </w:r>
      </w:hyperlink>
      <w:r>
        <w:t xml:space="preserve"> </w:t>
      </w:r>
    </w:p>
    <w:p w:rsidR="003F1D94" w:rsidRDefault="003F1D94" w:rsidP="00605658">
      <w:pPr>
        <w:pStyle w:val="ListParagraph"/>
        <w:numPr>
          <w:ilvl w:val="1"/>
          <w:numId w:val="2"/>
        </w:numPr>
      </w:pPr>
      <w:r>
        <w:t xml:space="preserve">New York Unified Court website </w:t>
      </w:r>
      <w:r w:rsidRPr="003F1D94">
        <w:t>(cases, statutes, legislation, etc.)</w:t>
      </w:r>
      <w:r>
        <w:t xml:space="preserve"> </w:t>
      </w:r>
      <w:hyperlink r:id="rId10" w:history="1">
        <w:r w:rsidRPr="00C15942">
          <w:rPr>
            <w:rStyle w:val="Hyperlink"/>
          </w:rPr>
          <w:t>http://www.courts.state.ny.us/index.htm</w:t>
        </w:r>
      </w:hyperlink>
      <w:r>
        <w:t xml:space="preserve"> </w:t>
      </w:r>
    </w:p>
    <w:p w:rsidR="003F1D94" w:rsidRDefault="003F1D94" w:rsidP="00605658">
      <w:pPr>
        <w:pStyle w:val="ListParagraph"/>
        <w:numPr>
          <w:ilvl w:val="1"/>
          <w:numId w:val="2"/>
        </w:numPr>
      </w:pPr>
      <w:r w:rsidRPr="003F1D94">
        <w:t>New York State Department of State</w:t>
      </w:r>
      <w:r>
        <w:t xml:space="preserve"> </w:t>
      </w:r>
      <w:r w:rsidRPr="003F1D94">
        <w:t xml:space="preserve">(regulations, rules, codes, New York State Register, etc.) </w:t>
      </w:r>
      <w:r>
        <w:t>-</w:t>
      </w:r>
      <w:hyperlink r:id="rId11" w:history="1">
        <w:r w:rsidRPr="003F1D94">
          <w:rPr>
            <w:rStyle w:val="Hyperlink"/>
          </w:rPr>
          <w:t>http://www.dos.ny.gov/info/nycrr.html</w:t>
        </w:r>
      </w:hyperlink>
      <w:r>
        <w:t xml:space="preserve"> </w:t>
      </w:r>
    </w:p>
    <w:p w:rsidR="00160A18" w:rsidRDefault="00160A18" w:rsidP="00605658">
      <w:pPr>
        <w:pStyle w:val="ListParagraph"/>
        <w:numPr>
          <w:ilvl w:val="1"/>
          <w:numId w:val="2"/>
        </w:numPr>
      </w:pPr>
      <w:r>
        <w:t xml:space="preserve">State government web site - </w:t>
      </w:r>
      <w:r w:rsidRPr="00160A18">
        <w:rPr>
          <w:i/>
        </w:rPr>
        <w:t>e.g.</w:t>
      </w:r>
      <w:r>
        <w:t xml:space="preserve"> </w:t>
      </w:r>
      <w:hyperlink r:id="rId12" w:history="1">
        <w:r w:rsidRPr="00DD5BA0">
          <w:rPr>
            <w:rStyle w:val="Hyperlink"/>
          </w:rPr>
          <w:t>http://www.ny.gov/</w:t>
        </w:r>
      </w:hyperlink>
      <w:r>
        <w:t xml:space="preserve"> </w:t>
      </w:r>
    </w:p>
    <w:p w:rsidR="00B12A3C" w:rsidRDefault="00B12A3C" w:rsidP="00605658">
      <w:pPr>
        <w:pStyle w:val="ListParagraph"/>
        <w:numPr>
          <w:ilvl w:val="1"/>
          <w:numId w:val="2"/>
        </w:numPr>
      </w:pPr>
      <w:r>
        <w:t xml:space="preserve">Google search for your topic - </w:t>
      </w:r>
      <w:r w:rsidRPr="005135F4">
        <w:rPr>
          <w:i/>
        </w:rPr>
        <w:t>BE</w:t>
      </w:r>
      <w:r w:rsidR="005135F4">
        <w:rPr>
          <w:i/>
        </w:rPr>
        <w:t xml:space="preserve"> A</w:t>
      </w:r>
      <w:r w:rsidRPr="005135F4">
        <w:rPr>
          <w:i/>
        </w:rPr>
        <w:t>WARE</w:t>
      </w:r>
      <w:r>
        <w:t xml:space="preserve"> of reliability and bias of whatever sites you find</w:t>
      </w:r>
    </w:p>
    <w:p w:rsidR="00F71420" w:rsidRDefault="00F71420" w:rsidP="0033304E">
      <w:pPr>
        <w:pStyle w:val="ListParagraph"/>
        <w:ind w:left="1440"/>
      </w:pPr>
    </w:p>
    <w:p w:rsidR="00F71420" w:rsidRDefault="00F71420" w:rsidP="00F71420">
      <w:pPr>
        <w:pStyle w:val="ListParagraph"/>
        <w:ind w:left="1440"/>
      </w:pPr>
    </w:p>
    <w:p w:rsidR="00065D99" w:rsidRPr="00BA64F0" w:rsidRDefault="00065D99" w:rsidP="0033304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64F0">
        <w:rPr>
          <w:b/>
          <w:sz w:val="24"/>
          <w:szCs w:val="24"/>
        </w:rPr>
        <w:t>Strategies for cost-savings by using other subscription databases and resources</w:t>
      </w:r>
    </w:p>
    <w:p w:rsidR="00065D99" w:rsidRDefault="00AB3F30" w:rsidP="0033304E">
      <w:pPr>
        <w:pStyle w:val="ListParagraph"/>
        <w:numPr>
          <w:ilvl w:val="1"/>
          <w:numId w:val="2"/>
        </w:numPr>
      </w:pPr>
      <w:r>
        <w:t>Many areas of law have specialized databases which are not charged on a usage basis</w:t>
      </w:r>
    </w:p>
    <w:p w:rsidR="00F71420" w:rsidRDefault="00AB3F30" w:rsidP="0033304E">
      <w:pPr>
        <w:pStyle w:val="ListParagraph"/>
        <w:numPr>
          <w:ilvl w:val="1"/>
          <w:numId w:val="2"/>
        </w:numPr>
      </w:pPr>
      <w:r>
        <w:t xml:space="preserve">Look for </w:t>
      </w:r>
      <w:r w:rsidR="00A52034">
        <w:t>BNA</w:t>
      </w:r>
      <w:r>
        <w:t>, CCH, HeinOnline</w:t>
      </w:r>
      <w:r w:rsidR="008A07FD">
        <w:t>, RIA and many others</w:t>
      </w:r>
    </w:p>
    <w:p w:rsidR="00F71420" w:rsidRDefault="00AB3F30" w:rsidP="0033304E">
      <w:pPr>
        <w:pStyle w:val="ListParagraph"/>
        <w:numPr>
          <w:ilvl w:val="1"/>
          <w:numId w:val="2"/>
        </w:numPr>
      </w:pPr>
      <w:r>
        <w:t>Ask librarian or who</w:t>
      </w:r>
      <w:r w:rsidR="008A07FD">
        <w:t>m</w:t>
      </w:r>
      <w:r>
        <w:t>ever manages online resources</w:t>
      </w:r>
    </w:p>
    <w:p w:rsidR="00F71420" w:rsidRDefault="00F71420" w:rsidP="00AB3F30">
      <w:pPr>
        <w:pStyle w:val="ListParagraph"/>
        <w:ind w:left="1440"/>
      </w:pPr>
    </w:p>
    <w:p w:rsidR="00F71420" w:rsidRDefault="00F71420" w:rsidP="00F71420">
      <w:pPr>
        <w:pStyle w:val="ListParagraph"/>
        <w:ind w:left="1440"/>
      </w:pPr>
    </w:p>
    <w:p w:rsidR="00AB3F30" w:rsidRDefault="00065D99" w:rsidP="00AB3F3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64F0">
        <w:rPr>
          <w:b/>
          <w:sz w:val="24"/>
          <w:szCs w:val="24"/>
        </w:rPr>
        <w:t xml:space="preserve">Cost effective </w:t>
      </w:r>
      <w:r w:rsidR="00F26B60">
        <w:rPr>
          <w:b/>
          <w:sz w:val="24"/>
          <w:szCs w:val="24"/>
        </w:rPr>
        <w:t>Lexis &amp; Westlaw—What’s happening now?</w:t>
      </w:r>
    </w:p>
    <w:p w:rsidR="00E16D8D" w:rsidRDefault="00F26B60" w:rsidP="00F26B60">
      <w:pPr>
        <w:pStyle w:val="ListParagraph"/>
        <w:numPr>
          <w:ilvl w:val="0"/>
          <w:numId w:val="8"/>
        </w:numPr>
        <w:ind w:left="1080" w:firstLine="0"/>
      </w:pPr>
      <w:r>
        <w:t>Fast migration to Lexis Advance and WestlawNext  is taking place in all legal settings</w:t>
      </w:r>
    </w:p>
    <w:p w:rsidR="00F26B60" w:rsidRDefault="00F26B60" w:rsidP="00F26B60">
      <w:pPr>
        <w:pStyle w:val="ListParagraph"/>
        <w:numPr>
          <w:ilvl w:val="0"/>
          <w:numId w:val="8"/>
        </w:numPr>
        <w:ind w:left="1080" w:firstLine="0"/>
      </w:pPr>
      <w:r>
        <w:t>Pricing plans for both systems changed with introduction of the new versions</w:t>
      </w:r>
    </w:p>
    <w:p w:rsidR="00F26B60" w:rsidRDefault="00F26B60" w:rsidP="00F26B60">
      <w:pPr>
        <w:pStyle w:val="ListParagraph"/>
        <w:numPr>
          <w:ilvl w:val="0"/>
          <w:numId w:val="8"/>
        </w:numPr>
        <w:ind w:left="1080" w:firstLine="0"/>
      </w:pPr>
      <w:r>
        <w:t>Cost-effecting research strategies evolving with these changes</w:t>
      </w:r>
    </w:p>
    <w:p w:rsidR="00F26B60" w:rsidRDefault="00F26B60" w:rsidP="00F26B60">
      <w:pPr>
        <w:pStyle w:val="ListParagraph"/>
        <w:numPr>
          <w:ilvl w:val="0"/>
          <w:numId w:val="8"/>
        </w:numPr>
        <w:ind w:left="1080" w:firstLine="0"/>
      </w:pPr>
      <w:r>
        <w:t>New attorneys are leading the transition to the new versions in legal offices</w:t>
      </w:r>
    </w:p>
    <w:p w:rsidR="00F26B60" w:rsidRDefault="00F26B60" w:rsidP="00F26B60">
      <w:pPr>
        <w:pStyle w:val="ListParagraph"/>
        <w:numPr>
          <w:ilvl w:val="0"/>
          <w:numId w:val="8"/>
        </w:numPr>
        <w:ind w:left="1080" w:firstLine="0"/>
      </w:pPr>
      <w:r>
        <w:t>Cost effective research on both systems essential in competitive job market</w:t>
      </w:r>
    </w:p>
    <w:p w:rsidR="00F26B60" w:rsidRDefault="00F26B60" w:rsidP="00F26B60">
      <w:pPr>
        <w:pStyle w:val="NoSpacing"/>
      </w:pPr>
    </w:p>
    <w:p w:rsidR="00F26B60" w:rsidRDefault="00F26B60" w:rsidP="0090213E">
      <w:pPr>
        <w:pStyle w:val="Title"/>
        <w:numPr>
          <w:ilvl w:val="0"/>
          <w:numId w:val="2"/>
        </w:numPr>
        <w:jc w:val="left"/>
        <w:rPr>
          <w:u w:val="none"/>
        </w:rPr>
      </w:pPr>
      <w:r w:rsidRPr="0090213E">
        <w:rPr>
          <w:u w:val="none"/>
        </w:rPr>
        <w:t xml:space="preserve">Important things to </w:t>
      </w:r>
      <w:r w:rsidRPr="00C00C73">
        <w:t>know</w:t>
      </w:r>
      <w:r w:rsidRPr="0090213E">
        <w:rPr>
          <w:u w:val="none"/>
        </w:rPr>
        <w:t xml:space="preserve"> at your workplace</w:t>
      </w:r>
    </w:p>
    <w:p w:rsidR="0090213E" w:rsidRDefault="0090213E" w:rsidP="0090213E">
      <w:pPr>
        <w:pStyle w:val="ListParagraph"/>
        <w:numPr>
          <w:ilvl w:val="0"/>
          <w:numId w:val="9"/>
        </w:numPr>
        <w:ind w:left="1080" w:firstLine="0"/>
      </w:pPr>
      <w:r>
        <w:t>Which services (Lexis/Westlaw/both) are available to you</w:t>
      </w:r>
    </w:p>
    <w:p w:rsidR="0090213E" w:rsidRDefault="0090213E" w:rsidP="0090213E">
      <w:pPr>
        <w:pStyle w:val="ListParagraph"/>
        <w:numPr>
          <w:ilvl w:val="0"/>
          <w:numId w:val="9"/>
        </w:numPr>
        <w:ind w:left="1440"/>
      </w:pPr>
      <w:r>
        <w:t>What is in your Lexis Advance and  WestlawNext subscription plan (content) and what pricing plan is used</w:t>
      </w:r>
    </w:p>
    <w:p w:rsidR="0090213E" w:rsidRDefault="0090213E" w:rsidP="0090213E">
      <w:pPr>
        <w:pStyle w:val="ListParagraph"/>
        <w:numPr>
          <w:ilvl w:val="0"/>
          <w:numId w:val="9"/>
        </w:numPr>
        <w:ind w:left="1440"/>
      </w:pPr>
      <w:r>
        <w:t>How to search effectively on both systems</w:t>
      </w:r>
    </w:p>
    <w:p w:rsidR="0090213E" w:rsidRDefault="0090213E" w:rsidP="0090213E">
      <w:pPr>
        <w:pStyle w:val="ListParagraph"/>
        <w:numPr>
          <w:ilvl w:val="0"/>
          <w:numId w:val="9"/>
        </w:numPr>
        <w:ind w:left="1440"/>
      </w:pPr>
      <w:r>
        <w:t>Some key New York resources in your subscription package—for both systems</w:t>
      </w:r>
    </w:p>
    <w:p w:rsidR="0090213E" w:rsidRDefault="0090213E" w:rsidP="0090213E">
      <w:pPr>
        <w:pStyle w:val="ListParagraph"/>
        <w:numPr>
          <w:ilvl w:val="0"/>
          <w:numId w:val="9"/>
        </w:numPr>
        <w:ind w:left="1440"/>
      </w:pPr>
      <w:r>
        <w:t>What training resources are available to you—from librarian, vendor representatives, online</w:t>
      </w:r>
    </w:p>
    <w:p w:rsidR="00B244BC" w:rsidRDefault="00B244BC" w:rsidP="0090213E">
      <w:pPr>
        <w:pStyle w:val="ListParagraph"/>
        <w:numPr>
          <w:ilvl w:val="0"/>
          <w:numId w:val="9"/>
        </w:numPr>
        <w:ind w:left="1440"/>
      </w:pPr>
      <w:r>
        <w:lastRenderedPageBreak/>
        <w:t>Y</w:t>
      </w:r>
      <w:r w:rsidR="0090213E">
        <w:t xml:space="preserve">our firm’s approach to managing online research costs—going out of plan; </w:t>
      </w:r>
      <w:r>
        <w:t xml:space="preserve">out-of-pan notification on Westlaw; </w:t>
      </w:r>
      <w:r w:rsidR="0090213E">
        <w:t xml:space="preserve">control over </w:t>
      </w:r>
      <w:r>
        <w:t>hourly/transactional fees for a single session; billing back clients for your research</w:t>
      </w:r>
      <w:r w:rsidR="0090213E">
        <w:t xml:space="preserve">  </w:t>
      </w:r>
    </w:p>
    <w:p w:rsidR="00B244BC" w:rsidRDefault="00B244BC" w:rsidP="0090213E">
      <w:pPr>
        <w:pStyle w:val="ListParagraph"/>
        <w:numPr>
          <w:ilvl w:val="0"/>
          <w:numId w:val="9"/>
        </w:numPr>
        <w:ind w:left="1440"/>
      </w:pPr>
      <w:r>
        <w:t>What print resources are available to you both in-house and in nearby court or school libraries</w:t>
      </w:r>
    </w:p>
    <w:p w:rsidR="0090213E" w:rsidRDefault="00B244BC" w:rsidP="0090213E">
      <w:pPr>
        <w:pStyle w:val="ListParagraph"/>
        <w:numPr>
          <w:ilvl w:val="0"/>
          <w:numId w:val="9"/>
        </w:numPr>
        <w:ind w:left="1440"/>
      </w:pPr>
      <w:r>
        <w:t>What alternative online subscription sources for the same source are less expensive to use</w:t>
      </w:r>
      <w:r w:rsidR="00C00C73">
        <w:t xml:space="preserve"> or preferred for use by your employer as alternatives to</w:t>
      </w:r>
      <w:r>
        <w:t xml:space="preserve"> Lexis Advance or WestlawNext</w:t>
      </w:r>
    </w:p>
    <w:p w:rsidR="00C75C9F" w:rsidRPr="00C75C9F" w:rsidRDefault="00C75C9F" w:rsidP="00C75C9F">
      <w:pPr>
        <w:pStyle w:val="NoSpacing"/>
      </w:pPr>
    </w:p>
    <w:p w:rsidR="00C00C73" w:rsidRDefault="00C00C73" w:rsidP="00C00C7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00C73">
        <w:rPr>
          <w:b/>
          <w:sz w:val="24"/>
          <w:szCs w:val="24"/>
        </w:rPr>
        <w:t xml:space="preserve">Important things to </w:t>
      </w:r>
      <w:r w:rsidRPr="00C00C73">
        <w:rPr>
          <w:b/>
          <w:sz w:val="24"/>
          <w:szCs w:val="24"/>
          <w:u w:val="single"/>
        </w:rPr>
        <w:t>do</w:t>
      </w:r>
      <w:r w:rsidRPr="00C00C73">
        <w:rPr>
          <w:b/>
          <w:sz w:val="24"/>
          <w:szCs w:val="24"/>
        </w:rPr>
        <w:t xml:space="preserve"> </w:t>
      </w:r>
      <w:r w:rsidR="00C75C9F">
        <w:rPr>
          <w:b/>
          <w:sz w:val="24"/>
          <w:szCs w:val="24"/>
        </w:rPr>
        <w:t>when researching</w:t>
      </w:r>
    </w:p>
    <w:p w:rsidR="00C75C9F" w:rsidRDefault="00C75C9F" w:rsidP="00605658">
      <w:pPr>
        <w:pStyle w:val="NoSpacing"/>
        <w:numPr>
          <w:ilvl w:val="1"/>
          <w:numId w:val="15"/>
        </w:numPr>
        <w:ind w:left="1440"/>
      </w:pPr>
      <w:r>
        <w:t>Make full use of law office librarians</w:t>
      </w:r>
    </w:p>
    <w:p w:rsidR="00C75C9F" w:rsidRDefault="00C75C9F" w:rsidP="00605658">
      <w:pPr>
        <w:pStyle w:val="NoSpacing"/>
        <w:numPr>
          <w:ilvl w:val="1"/>
          <w:numId w:val="15"/>
        </w:numPr>
        <w:ind w:left="1440"/>
      </w:pPr>
      <w:r>
        <w:t>Learn all you can from assigning attorney before starting research</w:t>
      </w:r>
    </w:p>
    <w:p w:rsidR="00C75C9F" w:rsidRDefault="00C75C9F" w:rsidP="00605658">
      <w:pPr>
        <w:pStyle w:val="NoSpacing"/>
        <w:numPr>
          <w:ilvl w:val="1"/>
          <w:numId w:val="15"/>
        </w:numPr>
        <w:ind w:left="1440"/>
      </w:pPr>
      <w:r w:rsidRPr="00C75C9F">
        <w:rPr>
          <w:u w:val="single"/>
        </w:rPr>
        <w:t>Have a research plan</w:t>
      </w:r>
      <w:r>
        <w:t xml:space="preserve"> before you go online</w:t>
      </w:r>
    </w:p>
    <w:p w:rsidR="00E51A29" w:rsidRPr="00E51A29" w:rsidRDefault="00E51A29" w:rsidP="00605658">
      <w:pPr>
        <w:pStyle w:val="NoSpacing"/>
        <w:numPr>
          <w:ilvl w:val="1"/>
          <w:numId w:val="15"/>
        </w:numPr>
        <w:ind w:left="1440"/>
      </w:pPr>
      <w:r w:rsidRPr="00E51A29">
        <w:t>Know and use the special features that increase efficiency on each system</w:t>
      </w:r>
    </w:p>
    <w:p w:rsidR="00C75C9F" w:rsidRDefault="00C75C9F" w:rsidP="00C75C9F">
      <w:pPr>
        <w:pStyle w:val="NoSpacing"/>
        <w:ind w:firstLine="1080"/>
      </w:pPr>
    </w:p>
    <w:p w:rsidR="00C75C9F" w:rsidRPr="00C75C9F" w:rsidRDefault="00C75C9F" w:rsidP="00C75C9F">
      <w:pPr>
        <w:tabs>
          <w:tab w:val="left" w:pos="14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6D8D" w:rsidRDefault="00B244BC" w:rsidP="00B244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44BC">
        <w:rPr>
          <w:b/>
          <w:sz w:val="24"/>
          <w:szCs w:val="24"/>
        </w:rPr>
        <w:t>Cost Effective Lexis Advance</w:t>
      </w:r>
    </w:p>
    <w:p w:rsidR="00812FE2" w:rsidRDefault="00B244BC" w:rsidP="00795D98">
      <w:pPr>
        <w:pStyle w:val="NoSpacing"/>
        <w:ind w:left="1440" w:hanging="360"/>
      </w:pPr>
      <w:r w:rsidRPr="00B244BC">
        <w:t>a.</w:t>
      </w:r>
      <w:r w:rsidR="001331B9">
        <w:t xml:space="preserve"> </w:t>
      </w:r>
      <w:r>
        <w:t xml:space="preserve"> </w:t>
      </w:r>
      <w:r w:rsidR="001331B9">
        <w:t xml:space="preserve"> Most law offices have “flat-rate” subscription plan for specified content for their primary     practice areas</w:t>
      </w:r>
      <w:r w:rsidR="00E63D86">
        <w:t>, tailored to include the key resources for these areas</w:t>
      </w:r>
    </w:p>
    <w:p w:rsidR="001331B9" w:rsidRDefault="001331B9" w:rsidP="001331B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b.   With all plans, it costs extra to view sources that are “out of plan</w:t>
      </w:r>
      <w:r w:rsidR="00933E6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331B9" w:rsidRDefault="001331B9" w:rsidP="00812FE2">
      <w:pPr>
        <w:pStyle w:val="NoSpacing"/>
        <w:tabs>
          <w:tab w:val="left" w:pos="1440"/>
        </w:tabs>
        <w:ind w:left="1440" w:hanging="360"/>
      </w:pPr>
      <w:r>
        <w:t xml:space="preserve">c.   Many things previously charged-for in the former “hourly” or “transactional” pricing plans are now </w:t>
      </w:r>
      <w:r w:rsidRPr="00812FE2">
        <w:rPr>
          <w:u w:val="single"/>
        </w:rPr>
        <w:t>FREE:</w:t>
      </w:r>
    </w:p>
    <w:p w:rsidR="001331B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Searching across all Lexis Advance content, including News</w:t>
      </w:r>
    </w:p>
    <w:p w:rsidR="001331B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Pre- and post-search filtering</w:t>
      </w:r>
    </w:p>
    <w:p w:rsidR="001331B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All document delivery, including printing</w:t>
      </w:r>
    </w:p>
    <w:p w:rsidR="001331B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Shepardizing—no charge until you link to an out-of-plan document in the report</w:t>
      </w:r>
    </w:p>
    <w:p w:rsidR="00B244BC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Using Table of Contents and special features like “Topic Summaries”</w:t>
      </w:r>
    </w:p>
    <w:p w:rsidR="001331B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Saving to work folders; updating a Shepard’s report in a folder for one year</w:t>
      </w:r>
    </w:p>
    <w:p w:rsidR="001331B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 xml:space="preserve">Accessing all documents in your History—for 90 days </w:t>
      </w:r>
    </w:p>
    <w:p w:rsidR="001331B9" w:rsidRPr="00620469" w:rsidRDefault="001331B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“Out of Plan” notification as standard feature—free-preview with price option</w:t>
      </w:r>
    </w:p>
    <w:p w:rsidR="00620469" w:rsidRDefault="00620469" w:rsidP="007928A2">
      <w:pPr>
        <w:pStyle w:val="NoSpacing"/>
        <w:numPr>
          <w:ilvl w:val="2"/>
          <w:numId w:val="11"/>
        </w:numPr>
        <w:tabs>
          <w:tab w:val="left" w:pos="1440"/>
        </w:tabs>
        <w:ind w:left="1800"/>
      </w:pPr>
      <w:r>
        <w:t>Lexis Advance Price Guide (At Welcome, under the “Help” tab; “out of plan” sources)</w:t>
      </w:r>
    </w:p>
    <w:p w:rsidR="007928A2" w:rsidRDefault="007928A2" w:rsidP="007928A2">
      <w:pPr>
        <w:pStyle w:val="NoSpacing"/>
        <w:tabs>
          <w:tab w:val="left" w:pos="1440"/>
        </w:tabs>
        <w:ind w:left="1080" w:firstLine="360"/>
      </w:pPr>
    </w:p>
    <w:p w:rsidR="007928A2" w:rsidRDefault="00EA37EF" w:rsidP="00EA37EF">
      <w:pPr>
        <w:pStyle w:val="NoSpacing"/>
        <w:tabs>
          <w:tab w:val="left" w:pos="1080"/>
        </w:tabs>
        <w:ind w:left="1080"/>
      </w:pPr>
      <w:r>
        <w:t xml:space="preserve">d.    </w:t>
      </w:r>
      <w:r w:rsidR="00C01568">
        <w:t>Some k</w:t>
      </w:r>
      <w:r w:rsidR="007928A2">
        <w:t xml:space="preserve">ey “Lexis only” sources for New York </w:t>
      </w:r>
    </w:p>
    <w:p w:rsidR="003759F1" w:rsidRDefault="001A3A79" w:rsidP="001A3A79">
      <w:pPr>
        <w:pStyle w:val="NoSpacing"/>
        <w:numPr>
          <w:ilvl w:val="0"/>
          <w:numId w:val="12"/>
        </w:numPr>
        <w:tabs>
          <w:tab w:val="left" w:pos="1440"/>
        </w:tabs>
        <w:ind w:left="1800"/>
      </w:pPr>
      <w:r>
        <w:t>Weinstein, Korn and Miller, New York Civil Practice: CPLR</w:t>
      </w:r>
    </w:p>
    <w:p w:rsidR="001A3A79" w:rsidRDefault="001A3A79" w:rsidP="001A3A79">
      <w:pPr>
        <w:pStyle w:val="NoSpacing"/>
        <w:numPr>
          <w:ilvl w:val="0"/>
          <w:numId w:val="12"/>
        </w:numPr>
        <w:tabs>
          <w:tab w:val="left" w:pos="1440"/>
        </w:tabs>
        <w:ind w:left="1800"/>
      </w:pPr>
      <w:r>
        <w:t>Bender’s Forms for the Civil Practice</w:t>
      </w:r>
    </w:p>
    <w:p w:rsidR="001A3A79" w:rsidRDefault="001A3A79" w:rsidP="001A3A79">
      <w:pPr>
        <w:pStyle w:val="NoSpacing"/>
        <w:numPr>
          <w:ilvl w:val="0"/>
          <w:numId w:val="12"/>
        </w:numPr>
        <w:tabs>
          <w:tab w:val="left" w:pos="1440"/>
        </w:tabs>
        <w:ind w:left="1800"/>
      </w:pPr>
      <w:r>
        <w:t xml:space="preserve">LexisNexis New York Answer Guides  (step-by step; checklist approach) </w:t>
      </w:r>
    </w:p>
    <w:p w:rsidR="001A3A79" w:rsidRDefault="001A3A79" w:rsidP="001A3A79">
      <w:pPr>
        <w:pStyle w:val="NoSpacing"/>
        <w:numPr>
          <w:ilvl w:val="0"/>
          <w:numId w:val="12"/>
        </w:numPr>
        <w:tabs>
          <w:tab w:val="left" w:pos="1440"/>
        </w:tabs>
        <w:ind w:left="1800"/>
      </w:pPr>
      <w:r>
        <w:t>New York Law Journal (two different sources:  one for articles; one for cases since 1989)</w:t>
      </w:r>
    </w:p>
    <w:p w:rsidR="001A3A79" w:rsidRDefault="001A3A79" w:rsidP="001A3A79">
      <w:pPr>
        <w:pStyle w:val="NoSpacing"/>
        <w:numPr>
          <w:ilvl w:val="0"/>
          <w:numId w:val="12"/>
        </w:numPr>
        <w:tabs>
          <w:tab w:val="left" w:pos="1440"/>
        </w:tabs>
        <w:ind w:left="1800"/>
      </w:pPr>
      <w:r>
        <w:t>Wall Street Journal (full-text, online and print editions, U.S. and other editions)</w:t>
      </w:r>
    </w:p>
    <w:p w:rsidR="001A3A79" w:rsidRDefault="001A3A79" w:rsidP="001A3A79">
      <w:pPr>
        <w:pStyle w:val="NoSpacing"/>
        <w:tabs>
          <w:tab w:val="left" w:pos="1440"/>
        </w:tabs>
      </w:pPr>
    </w:p>
    <w:p w:rsidR="001A3A79" w:rsidRDefault="002A7EE3" w:rsidP="002A7EE3">
      <w:pPr>
        <w:pStyle w:val="NoSpacing"/>
        <w:tabs>
          <w:tab w:val="left" w:pos="1080"/>
        </w:tabs>
        <w:ind w:left="1080"/>
      </w:pPr>
      <w:r>
        <w:t xml:space="preserve">e.   </w:t>
      </w:r>
      <w:r w:rsidR="001A3A79">
        <w:t>Topic Summaries:</w:t>
      </w:r>
      <w:r w:rsidR="00B309EF">
        <w:t xml:space="preserve"> </w:t>
      </w:r>
      <w:r w:rsidR="001A3A79">
        <w:t xml:space="preserve"> cost efficient feature</w:t>
      </w:r>
    </w:p>
    <w:p w:rsidR="001A3A79" w:rsidRDefault="001A3A79" w:rsidP="001A3A79">
      <w:pPr>
        <w:pStyle w:val="NoSpacing"/>
        <w:numPr>
          <w:ilvl w:val="0"/>
          <w:numId w:val="13"/>
        </w:numPr>
        <w:tabs>
          <w:tab w:val="left" w:pos="1800"/>
        </w:tabs>
        <w:ind w:left="1440" w:firstLine="0"/>
      </w:pPr>
      <w:r>
        <w:t>Accessed from a case you are viewing  (“about this document” box OR at headnotes)</w:t>
      </w:r>
    </w:p>
    <w:p w:rsidR="00C26222" w:rsidRDefault="00C26222" w:rsidP="001A3A79">
      <w:pPr>
        <w:pStyle w:val="NoSpacing"/>
        <w:numPr>
          <w:ilvl w:val="0"/>
          <w:numId w:val="13"/>
        </w:numPr>
        <w:tabs>
          <w:tab w:val="left" w:pos="1800"/>
        </w:tabs>
        <w:ind w:left="1440" w:firstLine="0"/>
      </w:pPr>
      <w:r>
        <w:t>Overview of a legal issue: definition, elements, seminal cases; secondary source links</w:t>
      </w:r>
    </w:p>
    <w:p w:rsidR="00C26222" w:rsidRDefault="00C26222" w:rsidP="001A3A79">
      <w:pPr>
        <w:pStyle w:val="NoSpacing"/>
        <w:numPr>
          <w:ilvl w:val="0"/>
          <w:numId w:val="13"/>
        </w:numPr>
        <w:tabs>
          <w:tab w:val="left" w:pos="1800"/>
        </w:tabs>
        <w:ind w:left="1440" w:firstLine="0"/>
      </w:pPr>
      <w:r>
        <w:t>After linking to Topic Summary, select from “other jurisdictions”: New York</w:t>
      </w:r>
    </w:p>
    <w:p w:rsidR="0055540B" w:rsidRDefault="0055540B" w:rsidP="001A3A79">
      <w:pPr>
        <w:pStyle w:val="NoSpacing"/>
        <w:numPr>
          <w:ilvl w:val="0"/>
          <w:numId w:val="13"/>
        </w:numPr>
        <w:tabs>
          <w:tab w:val="left" w:pos="1800"/>
        </w:tabs>
        <w:ind w:left="1440" w:firstLine="0"/>
      </w:pPr>
      <w:r>
        <w:t xml:space="preserve">Example:  Thing v. La </w:t>
      </w:r>
      <w:proofErr w:type="spellStart"/>
      <w:r>
        <w:t>Chusa</w:t>
      </w:r>
      <w:proofErr w:type="spellEnd"/>
      <w:r>
        <w:t>, 48 Cal. 3d 644—About this Document—Topic Summaries—</w:t>
      </w:r>
    </w:p>
    <w:p w:rsidR="0055540B" w:rsidRDefault="0055540B" w:rsidP="0055540B">
      <w:pPr>
        <w:pStyle w:val="NoSpacing"/>
        <w:tabs>
          <w:tab w:val="left" w:pos="1800"/>
        </w:tabs>
        <w:ind w:left="1080"/>
      </w:pPr>
      <w:r>
        <w:tab/>
        <w:t>View Reports—Select: Negligent Infliction of Emotional Distress—Other Jurisdictions--NY</w:t>
      </w:r>
    </w:p>
    <w:p w:rsidR="00C75C9F" w:rsidRDefault="00C75C9F" w:rsidP="00C75C9F">
      <w:pPr>
        <w:pStyle w:val="NoSpacing"/>
        <w:tabs>
          <w:tab w:val="left" w:pos="1800"/>
        </w:tabs>
        <w:ind w:left="1080"/>
      </w:pPr>
    </w:p>
    <w:p w:rsidR="008F3827" w:rsidRDefault="008F3827" w:rsidP="00C26222">
      <w:pPr>
        <w:pStyle w:val="NoSpacing"/>
        <w:numPr>
          <w:ilvl w:val="0"/>
          <w:numId w:val="2"/>
        </w:numPr>
        <w:tabs>
          <w:tab w:val="left" w:pos="1440"/>
        </w:tabs>
        <w:rPr>
          <w:b/>
          <w:sz w:val="24"/>
          <w:szCs w:val="24"/>
        </w:rPr>
        <w:sectPr w:rsidR="008F3827" w:rsidSect="00BA64F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759F1" w:rsidRDefault="00C26222" w:rsidP="00C26222">
      <w:pPr>
        <w:pStyle w:val="NoSpacing"/>
        <w:numPr>
          <w:ilvl w:val="0"/>
          <w:numId w:val="2"/>
        </w:numPr>
        <w:tabs>
          <w:tab w:val="left" w:pos="1440"/>
        </w:tabs>
        <w:rPr>
          <w:b/>
          <w:sz w:val="24"/>
          <w:szCs w:val="24"/>
        </w:rPr>
      </w:pPr>
      <w:r w:rsidRPr="00C26222">
        <w:rPr>
          <w:b/>
          <w:sz w:val="24"/>
          <w:szCs w:val="24"/>
        </w:rPr>
        <w:lastRenderedPageBreak/>
        <w:t xml:space="preserve">Cost effective </w:t>
      </w:r>
      <w:proofErr w:type="spellStart"/>
      <w:r w:rsidRPr="00C26222">
        <w:rPr>
          <w:b/>
          <w:sz w:val="24"/>
          <w:szCs w:val="24"/>
        </w:rPr>
        <w:t>WestlawNext</w:t>
      </w:r>
      <w:proofErr w:type="spellEnd"/>
    </w:p>
    <w:p w:rsidR="00C26222" w:rsidRDefault="00C26222" w:rsidP="00C26222">
      <w:pPr>
        <w:pStyle w:val="NoSpacing"/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26222" w:rsidRDefault="00C26222" w:rsidP="00092ADC">
      <w:pPr>
        <w:pStyle w:val="NoSpacing"/>
        <w:numPr>
          <w:ilvl w:val="1"/>
          <w:numId w:val="16"/>
        </w:numPr>
        <w:tabs>
          <w:tab w:val="left" w:pos="1440"/>
        </w:tabs>
        <w:ind w:left="1170" w:hanging="450"/>
        <w:rPr>
          <w:sz w:val="24"/>
          <w:szCs w:val="24"/>
        </w:rPr>
      </w:pPr>
      <w:r w:rsidRPr="00C26222">
        <w:rPr>
          <w:sz w:val="24"/>
          <w:szCs w:val="24"/>
        </w:rPr>
        <w:t>Pricing plan concept differs significantly from Lexis Advance</w:t>
      </w:r>
    </w:p>
    <w:p w:rsidR="00C26222" w:rsidRDefault="00C26222" w:rsidP="00092ADC">
      <w:pPr>
        <w:pStyle w:val="NoSpacing"/>
        <w:numPr>
          <w:ilvl w:val="1"/>
          <w:numId w:val="16"/>
        </w:numPr>
        <w:tabs>
          <w:tab w:val="left" w:pos="117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Pricing plans are a combination of:</w:t>
      </w:r>
    </w:p>
    <w:p w:rsidR="00BA64F0" w:rsidRPr="00C26222" w:rsidRDefault="00C26222" w:rsidP="00092ADC">
      <w:pPr>
        <w:pStyle w:val="ListParagraph"/>
        <w:numPr>
          <w:ilvl w:val="0"/>
          <w:numId w:val="14"/>
        </w:numPr>
        <w:tabs>
          <w:tab w:val="left" w:pos="1440"/>
        </w:tabs>
        <w:ind w:left="1530"/>
      </w:pPr>
      <w:r>
        <w:t xml:space="preserve"> </w:t>
      </w:r>
      <w:r w:rsidR="008730ED">
        <w:t>c</w:t>
      </w:r>
      <w:r>
        <w:t xml:space="preserve">ontent package—the sources available to employees, firm charged monthly “flat fee” access </w:t>
      </w:r>
      <w:r w:rsidR="00092ADC">
        <w:t xml:space="preserve">  </w:t>
      </w:r>
      <w:r>
        <w:t xml:space="preserve">charge;  </w:t>
      </w:r>
      <w:r w:rsidRPr="00C26222">
        <w:rPr>
          <w:u w:val="single"/>
        </w:rPr>
        <w:t>AND</w:t>
      </w:r>
    </w:p>
    <w:p w:rsidR="00092ADC" w:rsidRDefault="00D352DD" w:rsidP="00092ADC">
      <w:pPr>
        <w:pStyle w:val="ListParagraph"/>
        <w:numPr>
          <w:ilvl w:val="0"/>
          <w:numId w:val="14"/>
        </w:numPr>
        <w:tabs>
          <w:tab w:val="left" w:pos="1710"/>
        </w:tabs>
        <w:ind w:left="1530"/>
      </w:pPr>
      <w:r>
        <w:t xml:space="preserve"> </w:t>
      </w:r>
      <w:r w:rsidR="008730ED">
        <w:t>f</w:t>
      </w:r>
      <w:r>
        <w:t>ees for the firm plan’s “chargeable events”, such as searching, viewing documents, KeyCite, filtering, document delivery, in addition to “out of plan” access charges</w:t>
      </w:r>
    </w:p>
    <w:p w:rsidR="00812FE2" w:rsidRPr="00605658" w:rsidRDefault="00812FE2" w:rsidP="00092ADC">
      <w:pPr>
        <w:pStyle w:val="ListParagraph"/>
        <w:numPr>
          <w:ilvl w:val="1"/>
          <w:numId w:val="16"/>
        </w:numPr>
        <w:tabs>
          <w:tab w:val="left" w:pos="1170"/>
        </w:tabs>
        <w:ind w:hanging="1440"/>
      </w:pPr>
      <w:r>
        <w:t xml:space="preserve">What is a “chargeable event” </w:t>
      </w:r>
      <w:r w:rsidRPr="00812FE2">
        <w:rPr>
          <w:u w:val="single"/>
        </w:rPr>
        <w:t>differs widely by plan</w:t>
      </w:r>
    </w:p>
    <w:p w:rsidR="00812FE2" w:rsidRDefault="00300B12" w:rsidP="00092ADC">
      <w:pPr>
        <w:pStyle w:val="ListParagraph"/>
        <w:numPr>
          <w:ilvl w:val="1"/>
          <w:numId w:val="16"/>
        </w:numPr>
        <w:tabs>
          <w:tab w:val="left" w:pos="1170"/>
        </w:tabs>
        <w:ind w:hanging="1440"/>
      </w:pPr>
      <w:r>
        <w:t xml:space="preserve">Only some employers </w:t>
      </w:r>
      <w:r w:rsidR="00835674">
        <w:t xml:space="preserve"> activate “out of plan” notification</w:t>
      </w:r>
      <w:r>
        <w:t>; not standard feature</w:t>
      </w:r>
    </w:p>
    <w:p w:rsidR="00300B12" w:rsidRDefault="00300B12" w:rsidP="00092ADC">
      <w:pPr>
        <w:pStyle w:val="ListParagraph"/>
        <w:numPr>
          <w:ilvl w:val="1"/>
          <w:numId w:val="16"/>
        </w:numPr>
        <w:tabs>
          <w:tab w:val="left" w:pos="1170"/>
        </w:tabs>
        <w:ind w:hanging="1440"/>
      </w:pPr>
      <w:r>
        <w:t xml:space="preserve">7 things that are </w:t>
      </w:r>
      <w:r w:rsidRPr="00300B12">
        <w:rPr>
          <w:u w:val="single"/>
        </w:rPr>
        <w:t>ALWAYS FREE</w:t>
      </w:r>
      <w:r>
        <w:t xml:space="preserve"> in any Westlaw Next subscription plan:</w:t>
      </w:r>
    </w:p>
    <w:p w:rsidR="00300B12" w:rsidRDefault="00092ADC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C</w:t>
      </w:r>
      <w:r w:rsidR="00300B12">
        <w:t>reating folders (unlimited)</w:t>
      </w:r>
    </w:p>
    <w:p w:rsidR="00300B12" w:rsidRDefault="00300B12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Saving documents to folders</w:t>
      </w:r>
    </w:p>
    <w:p w:rsidR="00300B12" w:rsidRDefault="00300B12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Taking notes or highlighting a document</w:t>
      </w:r>
    </w:p>
    <w:p w:rsidR="00300B12" w:rsidRDefault="00300B12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Using the “copy with reference” feature</w:t>
      </w:r>
    </w:p>
    <w:p w:rsidR="00300B12" w:rsidRDefault="00300B12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Reading a scope note (i link)—description and date coverage for a source</w:t>
      </w:r>
    </w:p>
    <w:p w:rsidR="00300B12" w:rsidRDefault="00300B12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Viewing any document in your HISTORY—only until 2 am of the following day</w:t>
      </w:r>
    </w:p>
    <w:p w:rsidR="00300B12" w:rsidRDefault="00300B12" w:rsidP="00AC2903">
      <w:pPr>
        <w:pStyle w:val="ListParagraph"/>
        <w:numPr>
          <w:ilvl w:val="0"/>
          <w:numId w:val="16"/>
        </w:numPr>
        <w:tabs>
          <w:tab w:val="left" w:pos="1440"/>
        </w:tabs>
        <w:ind w:hanging="270"/>
      </w:pPr>
      <w:r>
        <w:t>Automatic updates of any KeyCIte reports save to folders (whenever opened)</w:t>
      </w:r>
    </w:p>
    <w:p w:rsidR="00E63D86" w:rsidRDefault="00C01568" w:rsidP="00AC2903">
      <w:pPr>
        <w:pStyle w:val="ListParagraph"/>
        <w:numPr>
          <w:ilvl w:val="0"/>
          <w:numId w:val="8"/>
        </w:numPr>
        <w:tabs>
          <w:tab w:val="left" w:pos="720"/>
          <w:tab w:val="left" w:pos="1170"/>
        </w:tabs>
        <w:ind w:hanging="1080"/>
      </w:pPr>
      <w:r>
        <w:t>Some k</w:t>
      </w:r>
      <w:r w:rsidR="00E63D86">
        <w:t>ey “Westlaw only” sources for New York:</w:t>
      </w:r>
      <w:r w:rsidR="00945551">
        <w:t xml:space="preserve">  </w:t>
      </w:r>
    </w:p>
    <w:p w:rsidR="00945551" w:rsidRDefault="00AC2903" w:rsidP="00AC2903">
      <w:pPr>
        <w:pStyle w:val="ListParagraph"/>
        <w:numPr>
          <w:ilvl w:val="0"/>
          <w:numId w:val="1"/>
        </w:numPr>
        <w:tabs>
          <w:tab w:val="left" w:pos="1440"/>
        </w:tabs>
        <w:ind w:firstLine="450"/>
      </w:pPr>
      <w:r>
        <w:t>M</w:t>
      </w:r>
      <w:r w:rsidR="00945551">
        <w:t>cKinney’s Consolidate</w:t>
      </w:r>
      <w:r>
        <w:t>d</w:t>
      </w:r>
      <w:r w:rsidR="00945551">
        <w:t xml:space="preserve"> Law</w:t>
      </w:r>
      <w:r>
        <w:t xml:space="preserve">s </w:t>
      </w:r>
      <w:r w:rsidR="00945551">
        <w:t xml:space="preserve"> of New York Annotated</w:t>
      </w:r>
    </w:p>
    <w:p w:rsidR="00945551" w:rsidRDefault="00945551" w:rsidP="00AC2903">
      <w:pPr>
        <w:pStyle w:val="ListParagraph"/>
        <w:numPr>
          <w:ilvl w:val="0"/>
          <w:numId w:val="1"/>
        </w:numPr>
        <w:tabs>
          <w:tab w:val="left" w:pos="1440"/>
        </w:tabs>
        <w:ind w:firstLine="450"/>
      </w:pPr>
      <w:r>
        <w:t>McKinney’s Forms</w:t>
      </w:r>
    </w:p>
    <w:p w:rsidR="00945551" w:rsidRDefault="00945551" w:rsidP="00AC2903">
      <w:pPr>
        <w:pStyle w:val="ListParagraph"/>
        <w:numPr>
          <w:ilvl w:val="0"/>
          <w:numId w:val="1"/>
        </w:numPr>
        <w:tabs>
          <w:tab w:val="left" w:pos="1440"/>
        </w:tabs>
        <w:ind w:firstLine="450"/>
      </w:pPr>
      <w:r>
        <w:t>New York Practice Series (treatises on specific practice areas)</w:t>
      </w:r>
    </w:p>
    <w:p w:rsidR="00945551" w:rsidRDefault="00945551" w:rsidP="00AC2903">
      <w:pPr>
        <w:pStyle w:val="ListParagraph"/>
        <w:numPr>
          <w:ilvl w:val="0"/>
          <w:numId w:val="1"/>
        </w:numPr>
        <w:tabs>
          <w:tab w:val="left" w:pos="1440"/>
        </w:tabs>
        <w:ind w:firstLine="450"/>
      </w:pPr>
      <w:r>
        <w:t>Siegel’s New York Practice (key treatise on New York civil practice)</w:t>
      </w:r>
    </w:p>
    <w:p w:rsidR="00945551" w:rsidRDefault="00E51A29" w:rsidP="00AC2903">
      <w:pPr>
        <w:pStyle w:val="ListParagraph"/>
        <w:numPr>
          <w:ilvl w:val="0"/>
          <w:numId w:val="8"/>
        </w:numPr>
        <w:tabs>
          <w:tab w:val="left" w:pos="1170"/>
        </w:tabs>
        <w:ind w:left="1440" w:hanging="720"/>
      </w:pPr>
      <w:r>
        <w:t>West Key Number System:  cost efficient feature</w:t>
      </w:r>
      <w:r w:rsidR="00945551">
        <w:t xml:space="preserve"> </w:t>
      </w:r>
    </w:p>
    <w:p w:rsidR="00DC3B0D" w:rsidRDefault="00DC3B0D" w:rsidP="00DC3B0D">
      <w:pPr>
        <w:pStyle w:val="ListParagraph"/>
        <w:numPr>
          <w:ilvl w:val="0"/>
          <w:numId w:val="17"/>
        </w:numPr>
        <w:tabs>
          <w:tab w:val="left" w:pos="1170"/>
        </w:tabs>
        <w:ind w:left="1170" w:firstLine="0"/>
      </w:pPr>
      <w:r>
        <w:t>To find relevant case law on an issue</w:t>
      </w:r>
    </w:p>
    <w:p w:rsidR="00DC3B0D" w:rsidRDefault="00DC3B0D" w:rsidP="00DC3B0D">
      <w:pPr>
        <w:pStyle w:val="ListParagraph"/>
        <w:numPr>
          <w:ilvl w:val="0"/>
          <w:numId w:val="17"/>
        </w:numPr>
        <w:tabs>
          <w:tab w:val="left" w:pos="1170"/>
        </w:tabs>
        <w:ind w:left="1170" w:firstLine="0"/>
      </w:pPr>
      <w:r>
        <w:t>Online version of a comprehensive digest, state and federal</w:t>
      </w:r>
    </w:p>
    <w:p w:rsidR="00C50D57" w:rsidRDefault="00DC3B0D" w:rsidP="00DC3B0D">
      <w:pPr>
        <w:pStyle w:val="ListParagraph"/>
        <w:numPr>
          <w:ilvl w:val="0"/>
          <w:numId w:val="17"/>
        </w:numPr>
        <w:tabs>
          <w:tab w:val="left" w:pos="1170"/>
        </w:tabs>
        <w:ind w:left="1170" w:firstLine="0"/>
      </w:pPr>
      <w:r>
        <w:t xml:space="preserve">Locate under:  Tools </w:t>
      </w:r>
    </w:p>
    <w:p w:rsidR="00EA37EF" w:rsidRDefault="00C50D57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>New York research example:  Can a bystander be awarded damages for negligent infliction of emotional distress under New York law</w:t>
      </w:r>
      <w:r w:rsidR="00EA37EF">
        <w:t>?</w:t>
      </w:r>
    </w:p>
    <w:p w:rsidR="008F3827" w:rsidRDefault="008F3827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>Jurisdiction: New York and related federal</w:t>
      </w:r>
    </w:p>
    <w:p w:rsidR="00EA37EF" w:rsidRDefault="00EA37EF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>Select</w:t>
      </w:r>
      <w:r w:rsidR="008F3827">
        <w:t xml:space="preserve"> Topics to search in</w:t>
      </w:r>
      <w:r>
        <w:t>:  Negligence; damages</w:t>
      </w:r>
    </w:p>
    <w:p w:rsidR="00EA37EF" w:rsidRDefault="00EA37EF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>Search</w:t>
      </w:r>
      <w:r w:rsidR="008F3827">
        <w:t xml:space="preserve"> title</w:t>
      </w:r>
      <w:r>
        <w:t>:</w:t>
      </w:r>
      <w:r w:rsidR="008F3827">
        <w:t xml:space="preserve"> </w:t>
      </w:r>
      <w:r>
        <w:t xml:space="preserve"> emotional distress</w:t>
      </w:r>
    </w:p>
    <w:p w:rsidR="00EA37EF" w:rsidRDefault="008F3827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 xml:space="preserve">Click on: </w:t>
      </w:r>
      <w:r w:rsidR="00EA37EF">
        <w:t xml:space="preserve"> 115 [Damages] 57.</w:t>
      </w:r>
      <w:r>
        <w:t>16</w:t>
      </w:r>
      <w:r w:rsidR="00EA37EF">
        <w:t xml:space="preserve">  </w:t>
      </w:r>
      <w:r>
        <w:t>Nature of Injury or Threat</w:t>
      </w:r>
    </w:p>
    <w:p w:rsidR="008F3827" w:rsidRDefault="008F3827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>Click on: -(2) Physical injury, illness or impact, zone of danger</w:t>
      </w:r>
    </w:p>
    <w:p w:rsidR="008D4C25" w:rsidRDefault="008F3827" w:rsidP="00C50D57">
      <w:pPr>
        <w:pStyle w:val="ListParagraph"/>
        <w:numPr>
          <w:ilvl w:val="0"/>
          <w:numId w:val="17"/>
        </w:numPr>
        <w:tabs>
          <w:tab w:val="left" w:pos="1440"/>
        </w:tabs>
        <w:ind w:left="1440" w:hanging="270"/>
      </w:pPr>
      <w:r>
        <w:t>Search within results:  bystander</w:t>
      </w:r>
    </w:p>
    <w:p w:rsidR="008F3827" w:rsidRDefault="008F3827" w:rsidP="008F3827">
      <w:pPr>
        <w:rPr>
          <w:b/>
          <w:sz w:val="24"/>
          <w:szCs w:val="24"/>
        </w:rPr>
      </w:pPr>
    </w:p>
    <w:p w:rsidR="008D4C25" w:rsidRPr="008D4C25" w:rsidRDefault="008D4C25" w:rsidP="008D4C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8D4C25">
        <w:rPr>
          <w:b/>
          <w:sz w:val="24"/>
          <w:szCs w:val="24"/>
        </w:rPr>
        <w:t>***ASK  YOUR FAVORITE LIBRARIAN***</w:t>
      </w:r>
    </w:p>
    <w:p w:rsidR="008D4C25" w:rsidRPr="008D4C25" w:rsidRDefault="008D4C25" w:rsidP="008D4C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D4C25">
        <w:rPr>
          <w:b/>
          <w:sz w:val="24"/>
          <w:szCs w:val="24"/>
        </w:rPr>
        <w:t>Get to know the librarian at your firm/organization.</w:t>
      </w:r>
    </w:p>
    <w:p w:rsidR="008D4C25" w:rsidRPr="008D4C25" w:rsidRDefault="008D4C25" w:rsidP="008D4C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D4C25">
        <w:rPr>
          <w:b/>
          <w:sz w:val="24"/>
          <w:szCs w:val="24"/>
        </w:rPr>
        <w:t xml:space="preserve">You are always welcome to contact us at Hofstra.  </w:t>
      </w:r>
    </w:p>
    <w:p w:rsidR="008D4C25" w:rsidRDefault="008D4C25" w:rsidP="008D4C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D4C25">
        <w:rPr>
          <w:b/>
          <w:sz w:val="24"/>
          <w:szCs w:val="24"/>
        </w:rPr>
        <w:t>The only “stupid” question is the one you did not ask.</w:t>
      </w:r>
    </w:p>
    <w:p w:rsidR="00E768D2" w:rsidRPr="00E768D2" w:rsidRDefault="008D4C25" w:rsidP="008D4C25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**This handout will be available with the recorded webcast of the workshop on the Law Library website, under Research &amp; Instruction -- Webcasts:  </w:t>
      </w:r>
      <w:hyperlink r:id="rId13" w:history="1">
        <w:r w:rsidRPr="008B56ED">
          <w:rPr>
            <w:rStyle w:val="Hyperlink"/>
            <w:b/>
            <w:sz w:val="24"/>
            <w:szCs w:val="24"/>
          </w:rPr>
          <w:t>http://law.hofstra.edu/academics/library/research/webcasts/index.html</w:t>
        </w:r>
      </w:hyperlink>
    </w:p>
    <w:sectPr w:rsidR="00E768D2" w:rsidRPr="00E768D2" w:rsidSect="008F382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AE"/>
    <w:multiLevelType w:val="hybridMultilevel"/>
    <w:tmpl w:val="CFA8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0448C"/>
    <w:multiLevelType w:val="hybridMultilevel"/>
    <w:tmpl w:val="E8801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731BF"/>
    <w:multiLevelType w:val="hybridMultilevel"/>
    <w:tmpl w:val="5E5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3EE8"/>
    <w:multiLevelType w:val="hybridMultilevel"/>
    <w:tmpl w:val="E718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418C8"/>
    <w:multiLevelType w:val="hybridMultilevel"/>
    <w:tmpl w:val="AA284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5D7000"/>
    <w:multiLevelType w:val="hybridMultilevel"/>
    <w:tmpl w:val="7F623154"/>
    <w:lvl w:ilvl="0" w:tplc="E8661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AB5E48"/>
    <w:multiLevelType w:val="hybridMultilevel"/>
    <w:tmpl w:val="6E5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61B9"/>
    <w:multiLevelType w:val="hybridMultilevel"/>
    <w:tmpl w:val="53987DE2"/>
    <w:lvl w:ilvl="0" w:tplc="D0A86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0CC6"/>
    <w:multiLevelType w:val="hybridMultilevel"/>
    <w:tmpl w:val="1E2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40F5A"/>
    <w:multiLevelType w:val="hybridMultilevel"/>
    <w:tmpl w:val="0AE8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C158C7"/>
    <w:multiLevelType w:val="hybridMultilevel"/>
    <w:tmpl w:val="1BA0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303AA"/>
    <w:multiLevelType w:val="hybridMultilevel"/>
    <w:tmpl w:val="6374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2F016D"/>
    <w:multiLevelType w:val="hybridMultilevel"/>
    <w:tmpl w:val="48985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3CB69D8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3B395F"/>
    <w:multiLevelType w:val="hybridMultilevel"/>
    <w:tmpl w:val="3E0CB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43660D"/>
    <w:multiLevelType w:val="hybridMultilevel"/>
    <w:tmpl w:val="AB044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8AA0218"/>
    <w:multiLevelType w:val="hybridMultilevel"/>
    <w:tmpl w:val="F81C0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026655"/>
    <w:multiLevelType w:val="hybridMultilevel"/>
    <w:tmpl w:val="50AE7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9"/>
    <w:rsid w:val="00055D9B"/>
    <w:rsid w:val="00065D99"/>
    <w:rsid w:val="00092ADC"/>
    <w:rsid w:val="000C504C"/>
    <w:rsid w:val="000C70D1"/>
    <w:rsid w:val="001331B9"/>
    <w:rsid w:val="00160A18"/>
    <w:rsid w:val="00176088"/>
    <w:rsid w:val="001A3A79"/>
    <w:rsid w:val="001C4D6C"/>
    <w:rsid w:val="002A7EE3"/>
    <w:rsid w:val="00300B12"/>
    <w:rsid w:val="0033304E"/>
    <w:rsid w:val="003759F1"/>
    <w:rsid w:val="003F1D94"/>
    <w:rsid w:val="004928CC"/>
    <w:rsid w:val="005135F4"/>
    <w:rsid w:val="00534782"/>
    <w:rsid w:val="0055540B"/>
    <w:rsid w:val="00595E7C"/>
    <w:rsid w:val="00605658"/>
    <w:rsid w:val="0060650B"/>
    <w:rsid w:val="00620469"/>
    <w:rsid w:val="007928A2"/>
    <w:rsid w:val="00795D98"/>
    <w:rsid w:val="00812FE2"/>
    <w:rsid w:val="00835674"/>
    <w:rsid w:val="00863057"/>
    <w:rsid w:val="008730ED"/>
    <w:rsid w:val="0088044A"/>
    <w:rsid w:val="008A07FD"/>
    <w:rsid w:val="008D4C25"/>
    <w:rsid w:val="008F12C1"/>
    <w:rsid w:val="008F3827"/>
    <w:rsid w:val="009003E8"/>
    <w:rsid w:val="0090213E"/>
    <w:rsid w:val="00933E6D"/>
    <w:rsid w:val="00945551"/>
    <w:rsid w:val="00A14D36"/>
    <w:rsid w:val="00A52034"/>
    <w:rsid w:val="00A56977"/>
    <w:rsid w:val="00AB3F30"/>
    <w:rsid w:val="00AC2903"/>
    <w:rsid w:val="00B12A3C"/>
    <w:rsid w:val="00B244BC"/>
    <w:rsid w:val="00B309EF"/>
    <w:rsid w:val="00B56832"/>
    <w:rsid w:val="00B60B26"/>
    <w:rsid w:val="00BA64F0"/>
    <w:rsid w:val="00C00C73"/>
    <w:rsid w:val="00C01568"/>
    <w:rsid w:val="00C26222"/>
    <w:rsid w:val="00C50D57"/>
    <w:rsid w:val="00C72D47"/>
    <w:rsid w:val="00C75C9F"/>
    <w:rsid w:val="00D352DD"/>
    <w:rsid w:val="00DC3B0D"/>
    <w:rsid w:val="00E16D8D"/>
    <w:rsid w:val="00E46C6E"/>
    <w:rsid w:val="00E51A29"/>
    <w:rsid w:val="00E63D86"/>
    <w:rsid w:val="00E65A0E"/>
    <w:rsid w:val="00E768D2"/>
    <w:rsid w:val="00EA37EF"/>
    <w:rsid w:val="00F26B60"/>
    <w:rsid w:val="00F71420"/>
    <w:rsid w:val="00FA7F0A"/>
    <w:rsid w:val="00FB765C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2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04E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304E"/>
    <w:rPr>
      <w:b/>
      <w:sz w:val="24"/>
      <w:szCs w:val="24"/>
      <w:u w:val="single"/>
    </w:rPr>
  </w:style>
  <w:style w:type="paragraph" w:styleId="NoSpacing">
    <w:name w:val="No Spacing"/>
    <w:uiPriority w:val="1"/>
    <w:qFormat/>
    <w:rsid w:val="00F26B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A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2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04E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304E"/>
    <w:rPr>
      <w:b/>
      <w:sz w:val="24"/>
      <w:szCs w:val="24"/>
      <w:u w:val="single"/>
    </w:rPr>
  </w:style>
  <w:style w:type="paragraph" w:styleId="NoSpacing">
    <w:name w:val="No Spacing"/>
    <w:uiPriority w:val="1"/>
    <w:qFormat/>
    <w:rsid w:val="00F26B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A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" TargetMode="External"/><Relationship Id="rId13" Type="http://schemas.openxmlformats.org/officeDocument/2006/relationships/hyperlink" Target="http://law.hofstra.edu/academics/library/research/webcasts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p.findlaw.com/" TargetMode="External"/><Relationship Id="rId12" Type="http://schemas.openxmlformats.org/officeDocument/2006/relationships/hyperlink" Target="http://www.n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" TargetMode="External"/><Relationship Id="rId11" Type="http://schemas.openxmlformats.org/officeDocument/2006/relationships/hyperlink" Target="http://www.dos.ny.gov/info/nycr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rts.state.ny.u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.leginfo.state.ny.us/menuf.c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Dell</dc:creator>
  <cp:lastModifiedBy>Registered User</cp:lastModifiedBy>
  <cp:revision>3</cp:revision>
  <cp:lastPrinted>2013-03-06T02:26:00Z</cp:lastPrinted>
  <dcterms:created xsi:type="dcterms:W3CDTF">2013-03-06T14:16:00Z</dcterms:created>
  <dcterms:modified xsi:type="dcterms:W3CDTF">2013-03-06T14:21:00Z</dcterms:modified>
</cp:coreProperties>
</file>